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D0D6" w14:textId="77777777" w:rsidR="007D438B" w:rsidRDefault="007D438B" w:rsidP="007D438B">
      <w:r>
        <w:t>3.9.6 | Gift Cards for Nonprofit Organizations</w:t>
      </w:r>
    </w:p>
    <w:p w14:paraId="0B998CAB" w14:textId="77777777" w:rsidR="007D438B" w:rsidRDefault="007D438B" w:rsidP="007D438B">
      <w:r>
        <w:t>Any partner agencies that handle gift cards purchased with City funding are subject to the same</w:t>
      </w:r>
    </w:p>
    <w:p w14:paraId="1574E4F0" w14:textId="37E6044D" w:rsidR="007D438B" w:rsidRDefault="007D438B" w:rsidP="007D438B">
      <w:r>
        <w:t>guidelines and restrictions in Section 3.9.1 | Eligibility to Receive Gift Cards through Section 3.9.9 | Gift</w:t>
      </w:r>
      <w:r>
        <w:t xml:space="preserve"> </w:t>
      </w:r>
      <w:r>
        <w:t>Card Record Retention (as applicable).</w:t>
      </w:r>
    </w:p>
    <w:p w14:paraId="75BAF678" w14:textId="42F0B09B" w:rsidR="007D438B" w:rsidRDefault="007D438B" w:rsidP="007D438B">
      <w:r>
        <w:t>Departments are responsible for ensuring the agency’s compliance and should consider the following</w:t>
      </w:r>
      <w:r>
        <w:t xml:space="preserve"> </w:t>
      </w:r>
      <w:r>
        <w:t>measures:</w:t>
      </w:r>
    </w:p>
    <w:p w14:paraId="208E609E" w14:textId="77777777" w:rsidR="007D438B" w:rsidRDefault="007D438B" w:rsidP="007D438B">
      <w:r>
        <w:t>• Assessment of potential risk factors (e.g. conflicts of interest, adequate resources for</w:t>
      </w:r>
    </w:p>
    <w:p w14:paraId="111D4D2A" w14:textId="77777777" w:rsidR="007D438B" w:rsidRDefault="007D438B" w:rsidP="007D438B">
      <w:r>
        <w:t>monitoring, etc.)</w:t>
      </w:r>
    </w:p>
    <w:p w14:paraId="2C260DD7" w14:textId="77777777" w:rsidR="007D438B" w:rsidRDefault="007D438B" w:rsidP="007D438B">
      <w:r>
        <w:t>• Monitoring procedures, including periodic inventory counts and balance reports</w:t>
      </w:r>
    </w:p>
    <w:p w14:paraId="0AD8610A" w14:textId="3D62EBEF" w:rsidR="007D438B" w:rsidRDefault="007D438B" w:rsidP="007D438B">
      <w:r>
        <w:t>All organizations that handle gift cards purchased with City funding are also subject to an external audit.</w:t>
      </w:r>
      <w:r>
        <w:t xml:space="preserve"> </w:t>
      </w:r>
      <w:r>
        <w:t>Many departmental MOUs with nonprofits require an annual external audit when certain thresholds</w:t>
      </w:r>
      <w:r>
        <w:t xml:space="preserve"> </w:t>
      </w:r>
      <w:r>
        <w:t>are met, commonly set at $500,000 in City funding. If an audit is already required, the audit should also</w:t>
      </w:r>
      <w:r>
        <w:t xml:space="preserve"> </w:t>
      </w:r>
      <w:r>
        <w:t>include gift card transactions and purchases.</w:t>
      </w:r>
    </w:p>
    <w:p w14:paraId="2990C825" w14:textId="23ECF222" w:rsidR="007D438B" w:rsidRDefault="007D438B" w:rsidP="007D438B">
      <w:r>
        <w:t>If an external audit requirement is not already specified in the MOU, gift card purchases will necessitate</w:t>
      </w:r>
      <w:r>
        <w:t xml:space="preserve"> </w:t>
      </w:r>
      <w:r>
        <w:t>a revised MOU with an external audit requirement, regardless of threshold. If an external audit is not</w:t>
      </w:r>
      <w:r>
        <w:t xml:space="preserve"> </w:t>
      </w:r>
      <w:r>
        <w:t>feasible, the audit will be performed by the City Services Auditor Division of the Controller’s Office.</w:t>
      </w:r>
    </w:p>
    <w:p w14:paraId="325B0005" w14:textId="77777777" w:rsidR="007D438B" w:rsidRDefault="007D438B" w:rsidP="007D438B">
      <w:r>
        <w:t>3.9.7 | Gift Cards and 1099 Reporting Requirements</w:t>
      </w:r>
    </w:p>
    <w:p w14:paraId="56CD362A" w14:textId="37F55931" w:rsidR="007D438B" w:rsidRDefault="007D438B" w:rsidP="007D438B">
      <w:r>
        <w:t>Gift cards to clients are considered cash-equivalents and may be 1099 reportable as a gift, prize, and/or</w:t>
      </w:r>
      <w:r>
        <w:t xml:space="preserve"> </w:t>
      </w:r>
      <w:r>
        <w:t>award. In some cases, gift cards to clients may be classified as a welfare or public assistance benefit.</w:t>
      </w:r>
      <w:r>
        <w:t xml:space="preserve"> </w:t>
      </w:r>
      <w:r>
        <w:t>Departments should refer to Publication 525 (2021), Taxable and Nontaxable Income for additional</w:t>
      </w:r>
      <w:r>
        <w:t xml:space="preserve"> </w:t>
      </w:r>
      <w:r>
        <w:t>guidance on whether their specific program would necessitate a 1099 filing.</w:t>
      </w:r>
    </w:p>
    <w:p w14:paraId="3737C0B4" w14:textId="279462E3" w:rsidR="007D438B" w:rsidRDefault="007D438B" w:rsidP="007D438B">
      <w:r>
        <w:t>Departmental gift card policies must explicitly state that it is the department’s responsibility to track all</w:t>
      </w:r>
      <w:r>
        <w:t xml:space="preserve"> </w:t>
      </w:r>
      <w:r>
        <w:t>gift card transactions and inform the Controller’s Office should the aggregate disbursed amount</w:t>
      </w:r>
      <w:r>
        <w:t xml:space="preserve"> </w:t>
      </w:r>
      <w:r>
        <w:t>necessitate a 1099 filing. For more information, please refer to the IRS Form 1099 website.</w:t>
      </w:r>
    </w:p>
    <w:p w14:paraId="70E89CE5" w14:textId="77777777" w:rsidR="007D438B" w:rsidRDefault="007D438B" w:rsidP="007D438B">
      <w:r>
        <w:t>3.9.8 | Gift Card Usage by Recipients</w:t>
      </w:r>
    </w:p>
    <w:p w14:paraId="26D7DF6D" w14:textId="77777777" w:rsidR="007D438B" w:rsidRDefault="007D438B" w:rsidP="007D438B">
      <w:r>
        <w:t>1. Gift cards must be provided only to clients and only as incentives for participating in the</w:t>
      </w:r>
    </w:p>
    <w:p w14:paraId="42A3112B" w14:textId="77777777" w:rsidR="007D438B" w:rsidRDefault="007D438B" w:rsidP="007D438B">
      <w:r>
        <w:t>program.</w:t>
      </w:r>
    </w:p>
    <w:p w14:paraId="04D67DC9" w14:textId="77777777" w:rsidR="007D438B" w:rsidRDefault="007D438B" w:rsidP="007D438B">
      <w:r>
        <w:t>2. Gift cards must be used only for the purposes stated and determined by the department for</w:t>
      </w:r>
    </w:p>
    <w:p w14:paraId="7F8563B3" w14:textId="33A42F5C" w:rsidR="00F653A0" w:rsidRDefault="007D438B" w:rsidP="007D438B">
      <w:r>
        <w:t>the program.</w:t>
      </w:r>
    </w:p>
    <w:p w14:paraId="7FCCBF3E" w14:textId="77777777" w:rsidR="007D438B" w:rsidRDefault="007D438B" w:rsidP="007D438B">
      <w:r>
        <w:t>3. The value of gift cards distributed to each client must not exceed the per-person limit</w:t>
      </w:r>
    </w:p>
    <w:p w14:paraId="6CD1A33C" w14:textId="77777777" w:rsidR="007D438B" w:rsidRDefault="007D438B" w:rsidP="007D438B">
      <w:r>
        <w:t>determined by the department for the program.</w:t>
      </w:r>
    </w:p>
    <w:p w14:paraId="41701C6C" w14:textId="77777777" w:rsidR="007D438B" w:rsidRDefault="007D438B" w:rsidP="007D438B">
      <w:r>
        <w:t>4. Gift cards cannot be used to purchase prohibited items, including program materials, as</w:t>
      </w:r>
    </w:p>
    <w:p w14:paraId="04FF3D2B" w14:textId="77777777" w:rsidR="007D438B" w:rsidRDefault="007D438B" w:rsidP="007D438B">
      <w:r>
        <w:lastRenderedPageBreak/>
        <w:t>specified by the program.</w:t>
      </w:r>
    </w:p>
    <w:p w14:paraId="4EDA5D9B" w14:textId="77777777" w:rsidR="007D438B" w:rsidRDefault="007D438B" w:rsidP="007D438B">
      <w:r>
        <w:t>5. Any instance of loss, theft, fraudulent use, or abuse of gift cards must be immediately</w:t>
      </w:r>
    </w:p>
    <w:p w14:paraId="2A45EBFC" w14:textId="77777777" w:rsidR="007D438B" w:rsidRDefault="007D438B" w:rsidP="007D438B">
      <w:r>
        <w:t>reported to the department’s fiscal office. The fiscal office should investigate instances of</w:t>
      </w:r>
    </w:p>
    <w:p w14:paraId="577AF2DE" w14:textId="77777777" w:rsidR="007D438B" w:rsidRDefault="007D438B" w:rsidP="007D438B">
      <w:r>
        <w:t>reported loss, theft, fraudulent use, or abuse of gift cards, as it deems necessary.</w:t>
      </w:r>
    </w:p>
    <w:p w14:paraId="22C42410" w14:textId="77777777" w:rsidR="007D438B" w:rsidRDefault="007D438B" w:rsidP="007D438B">
      <w:r>
        <w:t>6. The fiscal office must monitor and audit the usage of distributed gift cards no less frequently</w:t>
      </w:r>
    </w:p>
    <w:p w14:paraId="59A8457D" w14:textId="77777777" w:rsidR="007D438B" w:rsidRDefault="007D438B" w:rsidP="007D438B">
      <w:r>
        <w:t>than annually. The department must determine and state in writing the required frequency</w:t>
      </w:r>
    </w:p>
    <w:p w14:paraId="277EB7C9" w14:textId="77777777" w:rsidR="007D438B" w:rsidRDefault="007D438B" w:rsidP="007D438B">
      <w:r>
        <w:t>of the audit, and the frequency may vary by program.</w:t>
      </w:r>
    </w:p>
    <w:p w14:paraId="435D58A9" w14:textId="77777777" w:rsidR="007D438B" w:rsidRDefault="007D438B" w:rsidP="007D438B">
      <w:r>
        <w:t>3.9.9 | Gift Card Record Retention</w:t>
      </w:r>
    </w:p>
    <w:p w14:paraId="6F1F1F89" w14:textId="77777777" w:rsidR="007D438B" w:rsidRDefault="007D438B" w:rsidP="007D438B">
      <w:r>
        <w:t>• For audit purposes, retain all documentation for no less than two years.</w:t>
      </w:r>
    </w:p>
    <w:p w14:paraId="1809CA4D" w14:textId="77777777" w:rsidR="007D438B" w:rsidRDefault="007D438B" w:rsidP="007D438B">
      <w:r>
        <w:t>• Records and physical cards are subject to audit by CON.</w:t>
      </w:r>
    </w:p>
    <w:p w14:paraId="4AA2A571" w14:textId="77777777" w:rsidR="007D438B" w:rsidRDefault="007D438B" w:rsidP="007D438B">
      <w:r>
        <w:t>3.9.10 | Gift Card Review and Compliance</w:t>
      </w:r>
    </w:p>
    <w:p w14:paraId="2D3BE207" w14:textId="74ABFE43" w:rsidR="007D438B" w:rsidRDefault="007D438B" w:rsidP="007D438B">
      <w:r>
        <w:t>All gift card purchases are subject to review and selection for the Controller’s Office annual Post Audit.</w:t>
      </w:r>
      <w:r>
        <w:t xml:space="preserve"> </w:t>
      </w:r>
      <w:r>
        <w:t>Programs that do not comply with the guidelines set forth in this section may be modified, suspended,</w:t>
      </w:r>
      <w:r>
        <w:t xml:space="preserve"> </w:t>
      </w:r>
      <w:r>
        <w:t>or terminated at the discretion of the Controller’s Office.</w:t>
      </w:r>
    </w:p>
    <w:p w14:paraId="57D810CF" w14:textId="77777777" w:rsidR="007D438B" w:rsidRDefault="007D438B" w:rsidP="007D438B"/>
    <w:p w14:paraId="69730577" w14:textId="51603B9D" w:rsidR="007D438B" w:rsidRPr="007D438B" w:rsidRDefault="007D438B" w:rsidP="007D438B">
      <w:pPr>
        <w:rPr>
          <w:i/>
          <w:iCs/>
        </w:rPr>
      </w:pPr>
      <w:r>
        <w:rPr>
          <w:i/>
          <w:iCs/>
        </w:rPr>
        <w:t>(</w:t>
      </w:r>
      <w:r w:rsidRPr="007D438B">
        <w:rPr>
          <w:i/>
          <w:iCs/>
        </w:rPr>
        <w:t>Excerpt from the City &amp; County of San Francisco – Office of the Controller</w:t>
      </w:r>
    </w:p>
    <w:p w14:paraId="72F81ECA" w14:textId="73DBE680" w:rsidR="007D438B" w:rsidRPr="007D438B" w:rsidRDefault="007D438B" w:rsidP="007D438B">
      <w:pPr>
        <w:rPr>
          <w:i/>
          <w:iCs/>
        </w:rPr>
      </w:pPr>
      <w:r w:rsidRPr="007D438B">
        <w:rPr>
          <w:i/>
          <w:iCs/>
        </w:rPr>
        <w:t>Accounting Policies &amp; Procedures</w:t>
      </w:r>
      <w:r>
        <w:rPr>
          <w:i/>
          <w:iCs/>
        </w:rPr>
        <w:t>)</w:t>
      </w:r>
    </w:p>
    <w:sectPr w:rsidR="007D438B" w:rsidRPr="007D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EC8B" w14:textId="77777777" w:rsidR="0066470A" w:rsidRDefault="0066470A" w:rsidP="007D438B">
      <w:pPr>
        <w:spacing w:after="0" w:line="240" w:lineRule="auto"/>
      </w:pPr>
      <w:r>
        <w:separator/>
      </w:r>
    </w:p>
  </w:endnote>
  <w:endnote w:type="continuationSeparator" w:id="0">
    <w:p w14:paraId="51221CEF" w14:textId="77777777" w:rsidR="0066470A" w:rsidRDefault="0066470A" w:rsidP="007D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5990" w14:textId="77777777" w:rsidR="0066470A" w:rsidRDefault="0066470A" w:rsidP="007D438B">
      <w:pPr>
        <w:spacing w:after="0" w:line="240" w:lineRule="auto"/>
      </w:pPr>
      <w:r>
        <w:separator/>
      </w:r>
    </w:p>
  </w:footnote>
  <w:footnote w:type="continuationSeparator" w:id="0">
    <w:p w14:paraId="47CB0CA0" w14:textId="77777777" w:rsidR="0066470A" w:rsidRDefault="0066470A" w:rsidP="007D4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B"/>
    <w:rsid w:val="003E7082"/>
    <w:rsid w:val="0066470A"/>
    <w:rsid w:val="007D438B"/>
    <w:rsid w:val="009A3DA5"/>
    <w:rsid w:val="00E74B98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768C"/>
  <w15:chartTrackingRefBased/>
  <w15:docId w15:val="{4DDEB4DE-79B5-47AE-8135-C0EAA34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8B"/>
  </w:style>
  <w:style w:type="paragraph" w:styleId="Footer">
    <w:name w:val="footer"/>
    <w:basedOn w:val="Normal"/>
    <w:link w:val="FooterChar"/>
    <w:uiPriority w:val="99"/>
    <w:unhideWhenUsed/>
    <w:rsid w:val="007D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Edilyn (HOM)</dc:creator>
  <cp:keywords/>
  <dc:description/>
  <cp:lastModifiedBy>Velasquez, Edilyn (HOM)</cp:lastModifiedBy>
  <cp:revision>1</cp:revision>
  <dcterms:created xsi:type="dcterms:W3CDTF">2024-05-24T21:42:00Z</dcterms:created>
  <dcterms:modified xsi:type="dcterms:W3CDTF">2024-05-24T21:47:00Z</dcterms:modified>
</cp:coreProperties>
</file>