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C62433A" w14:textId="6597FEB1" w:rsidR="003553DB" w:rsidRDefault="0005494A" w:rsidP="00583092">
      <w:pPr>
        <w:rPr>
          <w:b/>
          <w:bCs/>
        </w:rPr>
      </w:pPr>
      <w:r>
        <w:rPr>
          <w:b/>
          <w:bCs/>
        </w:rPr>
        <w:t xml:space="preserve"> </w:t>
      </w:r>
    </w:p>
    <w:p w14:paraId="30B9D16D" w14:textId="77777777" w:rsidR="003553DB" w:rsidRDefault="003553DB" w:rsidP="00583092">
      <w:pPr>
        <w:pStyle w:val="Header"/>
        <w:tabs>
          <w:tab w:val="clear" w:pos="8640"/>
          <w:tab w:val="left" w:pos="27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s>
      </w:pPr>
    </w:p>
    <w:p w14:paraId="63A415C4" w14:textId="77777777" w:rsidR="003553DB" w:rsidRDefault="003553DB" w:rsidP="00583092">
      <w:pPr>
        <w:pStyle w:val="Header"/>
        <w:tabs>
          <w:tab w:val="clear" w:pos="8640"/>
          <w:tab w:val="left" w:pos="27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s>
      </w:pPr>
    </w:p>
    <w:p w14:paraId="28E3F1DF" w14:textId="77777777" w:rsidR="003553DB" w:rsidRDefault="003553DB" w:rsidP="00583092">
      <w:pPr>
        <w:pStyle w:val="Header"/>
        <w:tabs>
          <w:tab w:val="clear" w:pos="8640"/>
          <w:tab w:val="left" w:pos="27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s>
      </w:pPr>
    </w:p>
    <w:p w14:paraId="4BC2C08B" w14:textId="77777777" w:rsidR="003553DB" w:rsidRDefault="00986AFA" w:rsidP="00583092">
      <w:pPr>
        <w:pStyle w:val="Header"/>
        <w:tabs>
          <w:tab w:val="clear" w:pos="8640"/>
          <w:tab w:val="left" w:pos="27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s>
      </w:pPr>
      <w:r>
        <w:rPr>
          <w:noProof/>
        </w:rPr>
        <w:drawing>
          <wp:inline distT="0" distB="0" distL="0" distR="0" wp14:anchorId="462DD812" wp14:editId="67C6FFBB">
            <wp:extent cx="2228850" cy="2095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850" cy="2095500"/>
                    </a:xfrm>
                    <a:prstGeom prst="rect">
                      <a:avLst/>
                    </a:prstGeom>
                    <a:noFill/>
                    <a:ln>
                      <a:noFill/>
                    </a:ln>
                  </pic:spPr>
                </pic:pic>
              </a:graphicData>
            </a:graphic>
          </wp:inline>
        </w:drawing>
      </w:r>
    </w:p>
    <w:p w14:paraId="096167BF" w14:textId="77777777" w:rsidR="003553DB" w:rsidRDefault="003553DB" w:rsidP="00583092">
      <w:pPr>
        <w:pStyle w:val="Header"/>
        <w:tabs>
          <w:tab w:val="clear" w:pos="8640"/>
          <w:tab w:val="left" w:pos="27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s>
      </w:pPr>
    </w:p>
    <w:p w14:paraId="78D5B64B" w14:textId="77777777" w:rsidR="003553DB" w:rsidRDefault="003553DB" w:rsidP="00583092">
      <w:pPr>
        <w:pStyle w:val="Header"/>
        <w:tabs>
          <w:tab w:val="clear" w:pos="8640"/>
          <w:tab w:val="left" w:pos="27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s>
      </w:pPr>
    </w:p>
    <w:p w14:paraId="39BF4605" w14:textId="77777777" w:rsidR="003553DB" w:rsidRDefault="003553DB" w:rsidP="00583092">
      <w:pPr>
        <w:pStyle w:val="Header"/>
        <w:tabs>
          <w:tab w:val="clear" w:pos="8640"/>
          <w:tab w:val="left" w:pos="27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s>
      </w:pPr>
    </w:p>
    <w:p w14:paraId="79EE0182" w14:textId="77777777" w:rsidR="003553DB" w:rsidRDefault="003553DB" w:rsidP="00583092">
      <w:pPr>
        <w:pStyle w:val="Header"/>
        <w:tabs>
          <w:tab w:val="clear" w:pos="8640"/>
          <w:tab w:val="left" w:pos="27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s>
      </w:pPr>
    </w:p>
    <w:p w14:paraId="3ABCD44F" w14:textId="77777777" w:rsidR="003553DB" w:rsidRDefault="003553DB" w:rsidP="00583092">
      <w:pPr>
        <w:pStyle w:val="Header"/>
        <w:tabs>
          <w:tab w:val="clear" w:pos="8640"/>
          <w:tab w:val="left" w:pos="27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s>
      </w:pPr>
    </w:p>
    <w:p w14:paraId="7929ACBE" w14:textId="77777777" w:rsidR="003553DB" w:rsidRDefault="003553DB" w:rsidP="00583092"/>
    <w:p w14:paraId="4ED4F141" w14:textId="77777777" w:rsidR="00031CEF" w:rsidRDefault="00031CEF" w:rsidP="00A246CB">
      <w:pPr>
        <w:pBdr>
          <w:top w:val="thinThickSmallGap" w:sz="24" w:space="0" w:color="auto"/>
          <w:left w:val="thinThickSmallGap" w:sz="24" w:space="31" w:color="auto"/>
          <w:bottom w:val="thinThickSmallGap" w:sz="24" w:space="6" w:color="auto"/>
          <w:right w:val="thinThickSmallGap" w:sz="24" w:space="31" w:color="auto"/>
        </w:pBdr>
        <w:jc w:val="center"/>
        <w:rPr>
          <w:b/>
          <w:bCs/>
          <w:spacing w:val="40"/>
          <w:sz w:val="56"/>
          <w:szCs w:val="56"/>
        </w:rPr>
      </w:pPr>
      <w:r>
        <w:rPr>
          <w:b/>
          <w:bCs/>
          <w:spacing w:val="40"/>
          <w:sz w:val="56"/>
          <w:szCs w:val="56"/>
        </w:rPr>
        <w:t>Mayor’s Office of Housing and Community Development</w:t>
      </w:r>
    </w:p>
    <w:p w14:paraId="5A382ABF" w14:textId="77777777" w:rsidR="003553DB" w:rsidRDefault="003553DB" w:rsidP="00A246CB">
      <w:pPr>
        <w:pBdr>
          <w:top w:val="thinThickSmallGap" w:sz="24" w:space="0" w:color="auto"/>
          <w:left w:val="thinThickSmallGap" w:sz="24" w:space="31" w:color="auto"/>
          <w:bottom w:val="thinThickSmallGap" w:sz="24" w:space="6" w:color="auto"/>
          <w:right w:val="thinThickSmallGap" w:sz="24" w:space="31" w:color="auto"/>
        </w:pBdr>
        <w:jc w:val="center"/>
        <w:rPr>
          <w:b/>
          <w:bCs/>
          <w:spacing w:val="40"/>
          <w:sz w:val="56"/>
          <w:szCs w:val="56"/>
        </w:rPr>
      </w:pPr>
      <w:r>
        <w:rPr>
          <w:b/>
          <w:bCs/>
          <w:spacing w:val="40"/>
          <w:sz w:val="56"/>
          <w:szCs w:val="56"/>
        </w:rPr>
        <w:t>OPERATING PROCEDURES MANUAL</w:t>
      </w:r>
      <w:r w:rsidR="0058702A">
        <w:rPr>
          <w:b/>
          <w:bCs/>
          <w:spacing w:val="40"/>
          <w:sz w:val="56"/>
          <w:szCs w:val="56"/>
        </w:rPr>
        <w:t xml:space="preserve"> FOR GRANTEES</w:t>
      </w:r>
    </w:p>
    <w:p w14:paraId="37CCBCF3" w14:textId="6DDCE758" w:rsidR="003553DB" w:rsidRDefault="003553DB" w:rsidP="00A246CB">
      <w:pPr>
        <w:pBdr>
          <w:top w:val="thinThickSmallGap" w:sz="24" w:space="0" w:color="auto"/>
          <w:left w:val="thinThickSmallGap" w:sz="24" w:space="31" w:color="auto"/>
          <w:bottom w:val="thinThickSmallGap" w:sz="24" w:space="6" w:color="auto"/>
          <w:right w:val="thinThickSmallGap" w:sz="24" w:space="31" w:color="auto"/>
        </w:pBdr>
        <w:jc w:val="center"/>
        <w:rPr>
          <w:b/>
          <w:bCs/>
          <w:i/>
          <w:iCs/>
          <w:sz w:val="32"/>
          <w:szCs w:val="32"/>
        </w:rPr>
      </w:pPr>
      <w:r>
        <w:rPr>
          <w:b/>
          <w:bCs/>
          <w:i/>
          <w:iCs/>
          <w:sz w:val="32"/>
          <w:szCs w:val="32"/>
        </w:rPr>
        <w:t xml:space="preserve">Program Year </w:t>
      </w:r>
      <w:r w:rsidR="009A2650">
        <w:rPr>
          <w:b/>
          <w:bCs/>
          <w:i/>
          <w:iCs/>
          <w:sz w:val="32"/>
          <w:szCs w:val="32"/>
        </w:rPr>
        <w:t>202</w:t>
      </w:r>
      <w:r w:rsidR="00A969FD">
        <w:rPr>
          <w:b/>
          <w:bCs/>
          <w:i/>
          <w:iCs/>
          <w:sz w:val="32"/>
          <w:szCs w:val="32"/>
        </w:rPr>
        <w:t>4</w:t>
      </w:r>
      <w:r w:rsidR="009A2650">
        <w:rPr>
          <w:b/>
          <w:bCs/>
          <w:i/>
          <w:iCs/>
          <w:sz w:val="32"/>
          <w:szCs w:val="32"/>
        </w:rPr>
        <w:t>-202</w:t>
      </w:r>
      <w:r w:rsidR="00A969FD">
        <w:rPr>
          <w:b/>
          <w:bCs/>
          <w:i/>
          <w:iCs/>
          <w:sz w:val="32"/>
          <w:szCs w:val="32"/>
        </w:rPr>
        <w:t>5</w:t>
      </w:r>
    </w:p>
    <w:p w14:paraId="44798EC5" w14:textId="77777777" w:rsidR="003553DB" w:rsidRDefault="003553DB" w:rsidP="00583092">
      <w:pPr>
        <w:rPr>
          <w:b/>
          <w:bCs/>
          <w:spacing w:val="40"/>
          <w:sz w:val="56"/>
          <w:szCs w:val="56"/>
        </w:rPr>
      </w:pPr>
    </w:p>
    <w:p w14:paraId="0666E2E7" w14:textId="77777777" w:rsidR="003553DB" w:rsidRDefault="003553DB" w:rsidP="00583092">
      <w:r>
        <w:br w:type="page"/>
      </w:r>
    </w:p>
    <w:p w14:paraId="341B6866" w14:textId="77777777" w:rsidR="003553DB" w:rsidRDefault="003553DB" w:rsidP="00A246CB">
      <w:pPr>
        <w:jc w:val="center"/>
        <w:rPr>
          <w:b/>
          <w:bCs/>
          <w:sz w:val="28"/>
          <w:u w:val="single"/>
        </w:rPr>
      </w:pPr>
      <w:r>
        <w:rPr>
          <w:b/>
          <w:bCs/>
          <w:sz w:val="28"/>
          <w:u w:val="single"/>
        </w:rPr>
        <w:lastRenderedPageBreak/>
        <w:t>TABLE OF CONTENTS</w:t>
      </w:r>
    </w:p>
    <w:p w14:paraId="1A80D88A" w14:textId="77777777" w:rsidR="003553DB" w:rsidRDefault="003553DB" w:rsidP="00583092"/>
    <w:p w14:paraId="5BFFE48C" w14:textId="77777777" w:rsidR="003553DB" w:rsidRDefault="003553DB" w:rsidP="00583092"/>
    <w:p w14:paraId="02EFB477" w14:textId="77777777" w:rsidR="003553DB" w:rsidRDefault="00986AFA" w:rsidP="00583092">
      <w:pPr>
        <w:pStyle w:val="BodyText"/>
      </w:pPr>
      <w:r>
        <w:rPr>
          <w:noProof/>
        </w:rPr>
        <mc:AlternateContent>
          <mc:Choice Requires="wps">
            <w:drawing>
              <wp:anchor distT="0" distB="0" distL="114300" distR="114300" simplePos="0" relativeHeight="251657728" behindDoc="0" locked="0" layoutInCell="0" allowOverlap="1" wp14:anchorId="6F458B49" wp14:editId="59FD5472">
                <wp:simplePos x="0" y="0"/>
                <wp:positionH relativeFrom="column">
                  <wp:posOffset>1554480</wp:posOffset>
                </wp:positionH>
                <wp:positionV relativeFrom="paragraph">
                  <wp:posOffset>137160</wp:posOffset>
                </wp:positionV>
                <wp:extent cx="731520" cy="0"/>
                <wp:effectExtent l="1905" t="381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12700">
                              <a:solidFill>
                                <a:srgbClr val="000099"/>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166F999E"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4pt,10.8pt" to="180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RiChQEAAAEDAAAOAAAAZHJzL2Uyb0RvYy54bWysUk1vGyEQvVfqf0DcY2xXaSvkdQ6Jkkva&#10;Wkr6A8YseFGBQQzxrv99gXidftyqXkbLfLx9781sbibv2FEnshg6vlosOdNBYW/DoePfn++vPnNG&#10;GUIPDoPu+EkTv9m+f7cZo9RrHND1OrECEkiOseNDzlEKQWrQHmiBUYdSNJg85PJMB9EnGAu6d2K9&#10;XH4UI6Y+JlSaqGTvXot82/CN0Sp/M4Z0Zq7jhVtuMbW4r1FsNyAPCeJg1ZkG/AMLDzaUn16g7iAD&#10;e0n2LyhvVUJCkxcKvUBjrNJNQ1GzWv6h5mmAqJuWYg7Fi030/2DV1+Nt2KVKXU3hKT6i+kEs4O0A&#10;4aAbgedTLItbVavEGEleRuqD4i6x/fgF+9IDLxmbC5NJvkIWfWxqZp8uZuspM1WSnz6srtdlJWou&#10;CZDzXEyUHzR6Vj867myoNoCE4yPlygPk3FLTAe+tc22VLvyWKI2vGd1u4Tw9E69XQnKP/WmXZnXF&#10;54Z/vom6yF/fzYO3y93+BAAA//8DAFBLAwQUAAYACAAAACEAUnZ8TeAAAAAJAQAADwAAAGRycy9k&#10;b3ducmV2LnhtbEyPwU7DMBBE70j8g7VI3KjtUqIqxKkACUE5VKJUoN7c2E2i2Osodtvw92zFAW67&#10;O6PZN8Vi9I4d7RDbgArkRACzWAXTYq1g8/F8MwcWk0ajXUCr4NtGWJSXF4XOTTjhuz2uU80oBGOu&#10;FTQp9TnnsWqs13ESeouk7cPgdaJ1qLkZ9InCveNTITLudYv0odG9fWps1a0PXsHL/nMVll/bx9Vr&#10;5+66rZBy+SaVur4aH+6BJTumPzOc8QkdSmLahQOayJyC6WxG6IkGmQEjw20mqNzu98DLgv9vUP4A&#10;AAD//wMAUEsBAi0AFAAGAAgAAAAhALaDOJL+AAAA4QEAABMAAAAAAAAAAAAAAAAAAAAAAFtDb250&#10;ZW50X1R5cGVzXS54bWxQSwECLQAUAAYACAAAACEAOP0h/9YAAACUAQAACwAAAAAAAAAAAAAAAAAv&#10;AQAAX3JlbHMvLnJlbHNQSwECLQAUAAYACAAAACEAU6UYgoUBAAABAwAADgAAAAAAAAAAAAAAAAAu&#10;AgAAZHJzL2Uyb0RvYy54bWxQSwECLQAUAAYACAAAACEAUnZ8TeAAAAAJAQAADwAAAAAAAAAAAAAA&#10;AADfAwAAZHJzL2Rvd25yZXYueG1sUEsFBgAAAAAEAAQA8wAAAOwEAAAAAA==&#10;" o:allowincell="f" stroked="f" strokecolor="#009" strokeweight="1pt"/>
            </w:pict>
          </mc:Fallback>
        </mc:AlternateContent>
      </w:r>
      <w:r w:rsidR="003553DB">
        <w:t>I. Introduction…………………………………………………….……………………………1</w:t>
      </w:r>
    </w:p>
    <w:p w14:paraId="40EAF865" w14:textId="77777777" w:rsidR="003553DB" w:rsidRDefault="003553DB" w:rsidP="00583092"/>
    <w:p w14:paraId="11481942" w14:textId="77777777" w:rsidR="003553DB" w:rsidRDefault="003553DB" w:rsidP="00583092">
      <w:pPr>
        <w:pStyle w:val="BodyText"/>
      </w:pPr>
      <w:r>
        <w:t>II. Program Management………………………………………………………….…………...3</w:t>
      </w:r>
    </w:p>
    <w:p w14:paraId="15FDA5F0" w14:textId="77777777" w:rsidR="003553DB" w:rsidRDefault="003553DB" w:rsidP="00C3152C">
      <w:pPr>
        <w:numPr>
          <w:ilvl w:val="0"/>
          <w:numId w:val="12"/>
        </w:numPr>
      </w:pPr>
      <w:r>
        <w:t>Work Plan</w:t>
      </w:r>
    </w:p>
    <w:p w14:paraId="3ED39B10" w14:textId="77777777" w:rsidR="003553DB" w:rsidRDefault="003553DB" w:rsidP="00C3152C">
      <w:pPr>
        <w:numPr>
          <w:ilvl w:val="0"/>
          <w:numId w:val="12"/>
        </w:numPr>
      </w:pPr>
      <w:r>
        <w:t>Pro</w:t>
      </w:r>
      <w:r w:rsidR="00C511BA">
        <w:t>ject</w:t>
      </w:r>
      <w:r>
        <w:t xml:space="preserve"> Budget</w:t>
      </w:r>
    </w:p>
    <w:p w14:paraId="56F09B77" w14:textId="77777777" w:rsidR="003553DB" w:rsidRDefault="003553DB" w:rsidP="00583092"/>
    <w:p w14:paraId="6788F839" w14:textId="6BA819D3" w:rsidR="003553DB" w:rsidRDefault="003553DB" w:rsidP="00583092">
      <w:r>
        <w:t>III. Internal Controls for Accounting and Record Keeping…………………...………………1</w:t>
      </w:r>
      <w:r w:rsidR="006B593E">
        <w:t>4</w:t>
      </w:r>
    </w:p>
    <w:p w14:paraId="0CA7944D" w14:textId="77777777" w:rsidR="003553DB" w:rsidRDefault="003553DB" w:rsidP="00C3152C">
      <w:pPr>
        <w:numPr>
          <w:ilvl w:val="0"/>
          <w:numId w:val="13"/>
        </w:numPr>
      </w:pPr>
      <w:r>
        <w:t>Client/Program and Financial Records</w:t>
      </w:r>
    </w:p>
    <w:p w14:paraId="13F10F8A" w14:textId="77777777" w:rsidR="003553DB" w:rsidRDefault="003553DB" w:rsidP="00C3152C">
      <w:pPr>
        <w:numPr>
          <w:ilvl w:val="0"/>
          <w:numId w:val="13"/>
        </w:numPr>
      </w:pPr>
      <w:r>
        <w:t>Client/Program Records Overview</w:t>
      </w:r>
    </w:p>
    <w:p w14:paraId="21EDD223" w14:textId="77777777" w:rsidR="003553DB" w:rsidRDefault="003553DB" w:rsidP="00C3152C">
      <w:pPr>
        <w:numPr>
          <w:ilvl w:val="0"/>
          <w:numId w:val="13"/>
        </w:numPr>
      </w:pPr>
      <w:r>
        <w:t>Financial Records Overview</w:t>
      </w:r>
    </w:p>
    <w:p w14:paraId="3BA35A9D" w14:textId="77777777" w:rsidR="003553DB" w:rsidRDefault="003553DB" w:rsidP="00C3152C">
      <w:pPr>
        <w:numPr>
          <w:ilvl w:val="0"/>
          <w:numId w:val="13"/>
        </w:numPr>
      </w:pPr>
      <w:r>
        <w:t>Cash Disbursements</w:t>
      </w:r>
    </w:p>
    <w:p w14:paraId="04D800F8" w14:textId="77777777" w:rsidR="003553DB" w:rsidRDefault="003553DB" w:rsidP="00C3152C">
      <w:pPr>
        <w:numPr>
          <w:ilvl w:val="0"/>
          <w:numId w:val="13"/>
        </w:numPr>
      </w:pPr>
      <w:r>
        <w:t>Accounts Payable</w:t>
      </w:r>
    </w:p>
    <w:p w14:paraId="6DA9EBF4" w14:textId="77777777" w:rsidR="003553DB" w:rsidRDefault="003553DB" w:rsidP="00C3152C">
      <w:pPr>
        <w:numPr>
          <w:ilvl w:val="0"/>
          <w:numId w:val="13"/>
        </w:numPr>
      </w:pPr>
      <w:r>
        <w:t>Petty Cash</w:t>
      </w:r>
    </w:p>
    <w:p w14:paraId="2ACDE2E2" w14:textId="77777777" w:rsidR="003553DB" w:rsidRDefault="003553DB" w:rsidP="00C3152C">
      <w:pPr>
        <w:numPr>
          <w:ilvl w:val="0"/>
          <w:numId w:val="13"/>
        </w:numPr>
      </w:pPr>
      <w:r>
        <w:t>Cash Receipts</w:t>
      </w:r>
    </w:p>
    <w:p w14:paraId="3785B9AA" w14:textId="77777777" w:rsidR="003553DB" w:rsidRDefault="003553DB" w:rsidP="00C3152C">
      <w:pPr>
        <w:numPr>
          <w:ilvl w:val="0"/>
          <w:numId w:val="13"/>
        </w:numPr>
      </w:pPr>
      <w:r>
        <w:t>Payroll</w:t>
      </w:r>
    </w:p>
    <w:p w14:paraId="20308620" w14:textId="77777777" w:rsidR="003553DB" w:rsidRDefault="003553DB" w:rsidP="00C3152C">
      <w:pPr>
        <w:numPr>
          <w:ilvl w:val="0"/>
          <w:numId w:val="13"/>
        </w:numPr>
      </w:pPr>
      <w:r>
        <w:t>Inventory of Fixed Assets</w:t>
      </w:r>
    </w:p>
    <w:p w14:paraId="00964B87" w14:textId="77777777" w:rsidR="003553DB" w:rsidRDefault="003553DB" w:rsidP="00583092">
      <w:pPr>
        <w:ind w:left="720"/>
      </w:pPr>
    </w:p>
    <w:p w14:paraId="20DC1B9D" w14:textId="2AF3A8D8" w:rsidR="003553DB" w:rsidRDefault="003553DB" w:rsidP="00583092">
      <w:r>
        <w:t>IV. Procurement and Contractual Services…………………………………….…………….1</w:t>
      </w:r>
      <w:r w:rsidR="006B593E">
        <w:t>7</w:t>
      </w:r>
    </w:p>
    <w:p w14:paraId="371C17E6" w14:textId="77777777" w:rsidR="003553DB" w:rsidRDefault="003553DB" w:rsidP="00C3152C">
      <w:pPr>
        <w:numPr>
          <w:ilvl w:val="0"/>
          <w:numId w:val="14"/>
        </w:numPr>
      </w:pPr>
      <w:r>
        <w:t>Overview</w:t>
      </w:r>
    </w:p>
    <w:p w14:paraId="4BCDAAEF" w14:textId="77777777" w:rsidR="003553DB" w:rsidRDefault="003553DB" w:rsidP="00C3152C">
      <w:pPr>
        <w:numPr>
          <w:ilvl w:val="0"/>
          <w:numId w:val="14"/>
        </w:numPr>
      </w:pPr>
      <w:r>
        <w:t>Required Subcontracting Provisions</w:t>
      </w:r>
    </w:p>
    <w:p w14:paraId="2C2362D9" w14:textId="77777777" w:rsidR="003553DB" w:rsidRDefault="003553DB" w:rsidP="00C3152C">
      <w:pPr>
        <w:numPr>
          <w:ilvl w:val="0"/>
          <w:numId w:val="14"/>
        </w:numPr>
      </w:pPr>
      <w:r>
        <w:t>Federal Prevailing Wages in Construction Contracts (Davis-Bacon)</w:t>
      </w:r>
    </w:p>
    <w:p w14:paraId="6493F85F" w14:textId="77777777" w:rsidR="003553DB" w:rsidRDefault="003553DB" w:rsidP="00583092">
      <w:pPr>
        <w:ind w:left="720"/>
      </w:pPr>
    </w:p>
    <w:p w14:paraId="1BAC30AD" w14:textId="39316B4E" w:rsidR="003553DB" w:rsidRDefault="003553DB" w:rsidP="00583092">
      <w:r>
        <w:t>V. Monitoring……………………………………..……………………………………….…1</w:t>
      </w:r>
      <w:r w:rsidR="002C32D1">
        <w:t>9</w:t>
      </w:r>
    </w:p>
    <w:p w14:paraId="37D4205C" w14:textId="77777777" w:rsidR="003553DB" w:rsidRDefault="003553DB" w:rsidP="00C3152C">
      <w:pPr>
        <w:pStyle w:val="EndnoteText"/>
        <w:numPr>
          <w:ilvl w:val="0"/>
          <w:numId w:val="21"/>
        </w:numPr>
        <w:rPr>
          <w:sz w:val="24"/>
        </w:rPr>
      </w:pPr>
      <w:r>
        <w:rPr>
          <w:sz w:val="24"/>
        </w:rPr>
        <w:t>Reports</w:t>
      </w:r>
    </w:p>
    <w:p w14:paraId="5FEA3626" w14:textId="77777777" w:rsidR="003553DB" w:rsidRDefault="003553DB" w:rsidP="00C3152C">
      <w:pPr>
        <w:pStyle w:val="EndnoteText"/>
        <w:numPr>
          <w:ilvl w:val="0"/>
          <w:numId w:val="21"/>
        </w:numPr>
        <w:rPr>
          <w:sz w:val="24"/>
        </w:rPr>
      </w:pPr>
      <w:r>
        <w:rPr>
          <w:sz w:val="24"/>
        </w:rPr>
        <w:t>Review/Site Visits</w:t>
      </w:r>
    </w:p>
    <w:p w14:paraId="372C29A5" w14:textId="77777777" w:rsidR="003553DB" w:rsidRDefault="003553DB" w:rsidP="00C3152C">
      <w:pPr>
        <w:pStyle w:val="EndnoteText"/>
        <w:numPr>
          <w:ilvl w:val="0"/>
          <w:numId w:val="21"/>
        </w:numPr>
        <w:rPr>
          <w:sz w:val="24"/>
        </w:rPr>
      </w:pPr>
      <w:r>
        <w:rPr>
          <w:sz w:val="24"/>
        </w:rPr>
        <w:t>Joint Accountability Standards</w:t>
      </w:r>
    </w:p>
    <w:p w14:paraId="3446709D" w14:textId="77777777" w:rsidR="003553DB" w:rsidRDefault="003553DB" w:rsidP="00583092">
      <w:r>
        <w:rPr>
          <w:sz w:val="20"/>
        </w:rPr>
        <w:tab/>
      </w:r>
    </w:p>
    <w:p w14:paraId="0D5B106E" w14:textId="37EE6308" w:rsidR="003553DB" w:rsidRDefault="003553DB" w:rsidP="00583092">
      <w:r>
        <w:t>VI. General Administrative Procedures………………………………………………………</w:t>
      </w:r>
      <w:r w:rsidR="00F64A0C">
        <w:t>2</w:t>
      </w:r>
      <w:r w:rsidR="002C32D1">
        <w:t>5</w:t>
      </w:r>
    </w:p>
    <w:p w14:paraId="7991F3D2" w14:textId="77777777" w:rsidR="003553DB" w:rsidRDefault="003553DB" w:rsidP="00C3152C">
      <w:pPr>
        <w:pStyle w:val="EndnoteText"/>
        <w:numPr>
          <w:ilvl w:val="0"/>
          <w:numId w:val="22"/>
        </w:numPr>
        <w:rPr>
          <w:sz w:val="24"/>
        </w:rPr>
      </w:pPr>
      <w:r>
        <w:rPr>
          <w:sz w:val="24"/>
        </w:rPr>
        <w:t xml:space="preserve">Equal Employment </w:t>
      </w:r>
      <w:smartTag w:uri="urn:schemas-microsoft-com:office:smarttags" w:element="place">
        <w:r>
          <w:rPr>
            <w:sz w:val="24"/>
          </w:rPr>
          <w:t>Opportunity</w:t>
        </w:r>
      </w:smartTag>
    </w:p>
    <w:p w14:paraId="6F43B167" w14:textId="77777777" w:rsidR="003553DB" w:rsidRDefault="003553DB" w:rsidP="00C3152C">
      <w:pPr>
        <w:pStyle w:val="EndnoteText"/>
        <w:numPr>
          <w:ilvl w:val="0"/>
          <w:numId w:val="22"/>
        </w:numPr>
        <w:rPr>
          <w:sz w:val="24"/>
        </w:rPr>
      </w:pPr>
      <w:r>
        <w:rPr>
          <w:sz w:val="24"/>
        </w:rPr>
        <w:t>Employment Policies and Procedures</w:t>
      </w:r>
    </w:p>
    <w:p w14:paraId="12F9AED6" w14:textId="77777777" w:rsidR="003553DB" w:rsidRDefault="003553DB" w:rsidP="00C3152C">
      <w:pPr>
        <w:pStyle w:val="EndnoteText"/>
        <w:numPr>
          <w:ilvl w:val="0"/>
          <w:numId w:val="22"/>
        </w:numPr>
        <w:rPr>
          <w:sz w:val="24"/>
        </w:rPr>
      </w:pPr>
      <w:r>
        <w:rPr>
          <w:sz w:val="24"/>
        </w:rPr>
        <w:t>Board of Directors</w:t>
      </w:r>
    </w:p>
    <w:p w14:paraId="7C995879" w14:textId="2363BC58" w:rsidR="00EB7045" w:rsidRPr="00405A17" w:rsidRDefault="00EB7045" w:rsidP="00C3152C">
      <w:pPr>
        <w:pStyle w:val="EndnoteText"/>
        <w:numPr>
          <w:ilvl w:val="0"/>
          <w:numId w:val="22"/>
        </w:numPr>
        <w:rPr>
          <w:sz w:val="24"/>
          <w:szCs w:val="24"/>
        </w:rPr>
      </w:pPr>
      <w:r w:rsidRPr="00405A17">
        <w:rPr>
          <w:bCs/>
          <w:iCs/>
          <w:sz w:val="24"/>
          <w:szCs w:val="24"/>
        </w:rPr>
        <w:t>Public Access To Records And Meetings Of Nonprofit Organizations</w:t>
      </w:r>
      <w:r w:rsidRPr="00405A17" w:rsidDel="00EB7045">
        <w:rPr>
          <w:sz w:val="24"/>
          <w:szCs w:val="24"/>
        </w:rPr>
        <w:t xml:space="preserve"> </w:t>
      </w:r>
    </w:p>
    <w:p w14:paraId="2F32CCB4" w14:textId="21E41405" w:rsidR="003553DB" w:rsidRDefault="003553DB" w:rsidP="00C3152C">
      <w:pPr>
        <w:pStyle w:val="EndnoteText"/>
        <w:numPr>
          <w:ilvl w:val="0"/>
          <w:numId w:val="22"/>
        </w:numPr>
        <w:rPr>
          <w:sz w:val="24"/>
        </w:rPr>
      </w:pPr>
      <w:r>
        <w:rPr>
          <w:sz w:val="24"/>
        </w:rPr>
        <w:t>First Source Hiring</w:t>
      </w:r>
    </w:p>
    <w:p w14:paraId="242CC9D1" w14:textId="230327DF" w:rsidR="003553DB" w:rsidRDefault="003553DB" w:rsidP="00C3152C">
      <w:pPr>
        <w:pStyle w:val="EndnoteText"/>
        <w:numPr>
          <w:ilvl w:val="0"/>
          <w:numId w:val="22"/>
        </w:numPr>
        <w:rPr>
          <w:sz w:val="24"/>
        </w:rPr>
      </w:pPr>
      <w:r>
        <w:rPr>
          <w:sz w:val="24"/>
        </w:rPr>
        <w:t>Americans with Disabilities Act (ADA)</w:t>
      </w:r>
    </w:p>
    <w:p w14:paraId="654718C9" w14:textId="77777777" w:rsidR="003553DB" w:rsidRDefault="003553DB" w:rsidP="00C3152C">
      <w:pPr>
        <w:pStyle w:val="EndnoteText"/>
        <w:numPr>
          <w:ilvl w:val="0"/>
          <w:numId w:val="22"/>
        </w:numPr>
        <w:rPr>
          <w:sz w:val="24"/>
        </w:rPr>
      </w:pPr>
      <w:r>
        <w:rPr>
          <w:sz w:val="24"/>
        </w:rPr>
        <w:t>Environmental Review</w:t>
      </w:r>
    </w:p>
    <w:p w14:paraId="738ECA42" w14:textId="77777777" w:rsidR="003553DB" w:rsidRDefault="003553DB" w:rsidP="00C3152C">
      <w:pPr>
        <w:pStyle w:val="EndnoteText"/>
        <w:numPr>
          <w:ilvl w:val="0"/>
          <w:numId w:val="22"/>
        </w:numPr>
        <w:rPr>
          <w:sz w:val="24"/>
        </w:rPr>
      </w:pPr>
      <w:r>
        <w:rPr>
          <w:sz w:val="24"/>
        </w:rPr>
        <w:t>Care to Children</w:t>
      </w:r>
    </w:p>
    <w:p w14:paraId="47F22DC1" w14:textId="77777777" w:rsidR="007D220A" w:rsidRDefault="007D220A" w:rsidP="00C3152C">
      <w:pPr>
        <w:pStyle w:val="EndnoteText"/>
        <w:numPr>
          <w:ilvl w:val="0"/>
          <w:numId w:val="22"/>
        </w:numPr>
        <w:rPr>
          <w:sz w:val="24"/>
        </w:rPr>
      </w:pPr>
      <w:r>
        <w:rPr>
          <w:sz w:val="24"/>
        </w:rPr>
        <w:t xml:space="preserve">San Francisco Ethics Commission Form-126 </w:t>
      </w:r>
    </w:p>
    <w:p w14:paraId="30D20E9F" w14:textId="77777777" w:rsidR="003553DB" w:rsidRDefault="003553DB" w:rsidP="00583092">
      <w:pPr>
        <w:pStyle w:val="EndnoteText"/>
      </w:pPr>
    </w:p>
    <w:p w14:paraId="0587A482" w14:textId="4F59FFA0" w:rsidR="003553DB" w:rsidRDefault="003553DB" w:rsidP="00583092">
      <w:pPr>
        <w:sectPr w:rsidR="003553DB">
          <w:headerReference w:type="default" r:id="rId9"/>
          <w:footerReference w:type="even" r:id="rId10"/>
          <w:footerReference w:type="default" r:id="rId11"/>
          <w:footerReference w:type="first" r:id="rId12"/>
          <w:pgSz w:w="12240" w:h="15840" w:code="1"/>
          <w:pgMar w:top="1440" w:right="1440" w:bottom="1440" w:left="1440" w:header="547" w:footer="360" w:gutter="0"/>
          <w:pgNumType w:start="0"/>
          <w:cols w:space="720"/>
          <w:titlePg/>
          <w:docGrid w:linePitch="360"/>
        </w:sectPr>
      </w:pPr>
      <w:r>
        <w:t>Appendix 1</w:t>
      </w:r>
      <w:r w:rsidR="00F64A0C">
        <w:t>: Resources.</w:t>
      </w:r>
      <w:r>
        <w:t>………………………………………………………………………</w:t>
      </w:r>
      <w:r w:rsidR="00697CF4">
        <w:t>.</w:t>
      </w:r>
      <w:r w:rsidR="002C32D1">
        <w:t>30</w:t>
      </w:r>
    </w:p>
    <w:p w14:paraId="3FBED24A" w14:textId="77777777" w:rsidR="003553DB" w:rsidRPr="004F084B" w:rsidRDefault="003553DB" w:rsidP="00A246CB">
      <w:pPr>
        <w:pStyle w:val="Heading1"/>
        <w:jc w:val="center"/>
        <w:rPr>
          <w:rFonts w:ascii="Times New Roman" w:hAnsi="Times New Roman"/>
        </w:rPr>
      </w:pPr>
      <w:r w:rsidRPr="004F084B">
        <w:rPr>
          <w:rFonts w:ascii="Times New Roman" w:hAnsi="Times New Roman"/>
        </w:rPr>
        <w:lastRenderedPageBreak/>
        <w:t>CHAPTER I.  INTRODUCTION</w:t>
      </w:r>
    </w:p>
    <w:p w14:paraId="16962A2A" w14:textId="77777777" w:rsidR="003553DB" w:rsidRPr="004F084B" w:rsidRDefault="003553DB" w:rsidP="00583092"/>
    <w:p w14:paraId="19DC5976" w14:textId="77777777" w:rsidR="00AE55EC" w:rsidRPr="004F084B" w:rsidRDefault="00AE55EC" w:rsidP="00583092">
      <w:pPr>
        <w:rPr>
          <w:highlight w:val="yellow"/>
        </w:rPr>
      </w:pPr>
    </w:p>
    <w:p w14:paraId="3560D34B" w14:textId="77777777" w:rsidR="00AE55EC" w:rsidRPr="004F084B" w:rsidRDefault="00AE55EC" w:rsidP="00583092">
      <w:pPr>
        <w:rPr>
          <w:highlight w:val="yellow"/>
        </w:rPr>
      </w:pPr>
    </w:p>
    <w:p w14:paraId="5E96AC67" w14:textId="663669B4" w:rsidR="009D33DE" w:rsidRPr="004F084B" w:rsidRDefault="00AE55EC" w:rsidP="009D33DE">
      <w:r w:rsidRPr="004F084B">
        <w:t xml:space="preserve">The mission of the Community Development division at MOHCD is to partner with the community to strengthen the social, physical and economic infrastructure of San Francisco's low-income neighborhoods and communities in need. </w:t>
      </w:r>
      <w:r w:rsidR="009D33DE" w:rsidRPr="004F084B">
        <w:t xml:space="preserve"> MOHCD has been designated as the city agency to administer the U.S. Department of Housing and Urban Development’s (HUD) Community Development Block Grant (CDBG) program</w:t>
      </w:r>
      <w:r w:rsidR="00F61F63">
        <w:t>,</w:t>
      </w:r>
      <w:r w:rsidR="009D33DE" w:rsidRPr="004F084B">
        <w:t xml:space="preserve"> the Emergency S</w:t>
      </w:r>
      <w:r w:rsidR="00DC440A" w:rsidRPr="004F084B">
        <w:t>olutions</w:t>
      </w:r>
      <w:r w:rsidR="009D33DE" w:rsidRPr="004F084B">
        <w:t xml:space="preserve"> Grant (ESG) program and the Housing Opportunities for Persons with AIDS (HOPWA) program.  The Community Development division administers the following programs:</w:t>
      </w:r>
    </w:p>
    <w:p w14:paraId="5560C22F" w14:textId="77777777" w:rsidR="009D33DE" w:rsidRPr="004F084B" w:rsidRDefault="009D33DE" w:rsidP="00583092"/>
    <w:p w14:paraId="7C066BF3" w14:textId="2F9C92D2" w:rsidR="009D33DE" w:rsidRPr="004F084B" w:rsidRDefault="009D33DE" w:rsidP="00C3152C">
      <w:pPr>
        <w:numPr>
          <w:ilvl w:val="0"/>
          <w:numId w:val="30"/>
        </w:numPr>
      </w:pPr>
      <w:r w:rsidRPr="004F084B">
        <w:t>T</w:t>
      </w:r>
      <w:r w:rsidR="00AE55EC" w:rsidRPr="004F084B">
        <w:t>he Community Development Block Grant (CDBG) program</w:t>
      </w:r>
      <w:r w:rsidR="00F61F63">
        <w:t xml:space="preserve"> is a</w:t>
      </w:r>
      <w:r w:rsidR="00AE55EC" w:rsidRPr="004F084B">
        <w:t xml:space="preserve"> federal program focused on low- and moderate-income communities.  </w:t>
      </w:r>
      <w:r w:rsidRPr="004F084B">
        <w:t>The primary objective of the CDBG program is the development of viable urban communities, by providing decent housing and suitable living environment</w:t>
      </w:r>
      <w:r w:rsidR="005F3CB6">
        <w:t>s</w:t>
      </w:r>
      <w:r w:rsidRPr="004F084B">
        <w:t xml:space="preserve"> and expanding economic development opportunities principally for persons of low- and moderate-income. </w:t>
      </w:r>
    </w:p>
    <w:p w14:paraId="1D68322E" w14:textId="77777777" w:rsidR="009D33DE" w:rsidRPr="004F084B" w:rsidRDefault="009D33DE" w:rsidP="006F6651">
      <w:pPr>
        <w:ind w:left="720"/>
      </w:pPr>
    </w:p>
    <w:p w14:paraId="4159CD93" w14:textId="26436B97" w:rsidR="009D33DE" w:rsidRPr="004F084B" w:rsidRDefault="009D33DE" w:rsidP="00C3152C">
      <w:pPr>
        <w:numPr>
          <w:ilvl w:val="0"/>
          <w:numId w:val="30"/>
        </w:numPr>
      </w:pPr>
      <w:r w:rsidRPr="004F084B">
        <w:t xml:space="preserve">The </w:t>
      </w:r>
      <w:r w:rsidR="00AE55EC" w:rsidRPr="004F084B">
        <w:t>Emergency Solutions</w:t>
      </w:r>
      <w:r w:rsidRPr="004F084B">
        <w:t xml:space="preserve"> Grant (ESG) program</w:t>
      </w:r>
      <w:r w:rsidR="00AE55EC" w:rsidRPr="004F084B">
        <w:t>, part of the federal McKinney-Vento Homeless Assistance Act</w:t>
      </w:r>
      <w:r w:rsidR="00FE421A">
        <w:t>,</w:t>
      </w:r>
      <w:r w:rsidR="00AE55EC" w:rsidRPr="004F084B">
        <w:t xml:space="preserve"> funds</w:t>
      </w:r>
      <w:r w:rsidRPr="004F084B">
        <w:t xml:space="preserve"> a continuum of assistance to prevent homelessness and to enable homeless individuals and families to move toward independent living.</w:t>
      </w:r>
      <w:r w:rsidR="00FE421A">
        <w:t xml:space="preserve">  </w:t>
      </w:r>
      <w:r w:rsidR="004F4595">
        <w:t>While MOHCD receives and administers the funding, t</w:t>
      </w:r>
      <w:r w:rsidR="00FE421A">
        <w:t xml:space="preserve">he City’s Department of Homelessness and Supportive Housing (HSH) manages </w:t>
      </w:r>
      <w:r w:rsidR="004F4595">
        <w:t xml:space="preserve">the </w:t>
      </w:r>
      <w:r w:rsidR="00FE421A">
        <w:t>grants funded with ESG program dollars.</w:t>
      </w:r>
    </w:p>
    <w:p w14:paraId="2D306974" w14:textId="77777777" w:rsidR="009D33DE" w:rsidRPr="004F084B" w:rsidRDefault="009D33DE" w:rsidP="006F6651"/>
    <w:p w14:paraId="354A53F1" w14:textId="51629BB5" w:rsidR="009D33DE" w:rsidRPr="004F084B" w:rsidRDefault="009D33DE" w:rsidP="00C3152C">
      <w:pPr>
        <w:numPr>
          <w:ilvl w:val="0"/>
          <w:numId w:val="30"/>
        </w:numPr>
      </w:pPr>
      <w:r w:rsidRPr="004F084B">
        <w:t xml:space="preserve">The </w:t>
      </w:r>
      <w:r w:rsidR="00AE55EC" w:rsidRPr="004F084B">
        <w:t>Housing Opportunities for Persons with AIDS (HOPWA) program</w:t>
      </w:r>
      <w:r w:rsidR="00F64800">
        <w:t xml:space="preserve"> </w:t>
      </w:r>
      <w:r w:rsidRPr="004F084B">
        <w:rPr>
          <w:lang w:val="en"/>
        </w:rPr>
        <w:t>is dedicated to meeting the housing needs, and related service needs, of people living with HIV/AIDS.</w:t>
      </w:r>
    </w:p>
    <w:p w14:paraId="7F83255B" w14:textId="77777777" w:rsidR="009D33DE" w:rsidRPr="004F084B" w:rsidRDefault="009D33DE" w:rsidP="006F6651">
      <w:pPr>
        <w:ind w:left="720"/>
      </w:pPr>
    </w:p>
    <w:p w14:paraId="653D07F9" w14:textId="3F40437A" w:rsidR="009D33DE" w:rsidRPr="004F084B" w:rsidRDefault="009D33DE" w:rsidP="00C3152C">
      <w:pPr>
        <w:numPr>
          <w:ilvl w:val="0"/>
          <w:numId w:val="30"/>
        </w:numPr>
      </w:pPr>
      <w:r w:rsidRPr="004F084B">
        <w:t xml:space="preserve">A wide variety of </w:t>
      </w:r>
      <w:r w:rsidR="005F3CB6">
        <w:t>C</w:t>
      </w:r>
      <w:r w:rsidRPr="004F084B">
        <w:t>ity General Fund grants focused on community development issues and services to low-</w:t>
      </w:r>
      <w:r w:rsidR="005F3CB6">
        <w:t xml:space="preserve"> and </w:t>
      </w:r>
      <w:r w:rsidRPr="004F084B">
        <w:t>moderate</w:t>
      </w:r>
      <w:r w:rsidR="005F3CB6">
        <w:t>-</w:t>
      </w:r>
      <w:r w:rsidRPr="004F084B">
        <w:t>income residents</w:t>
      </w:r>
      <w:r w:rsidR="005F3CB6">
        <w:t>.</w:t>
      </w:r>
    </w:p>
    <w:p w14:paraId="7167B54B" w14:textId="77777777" w:rsidR="009D33DE" w:rsidRPr="004F084B" w:rsidRDefault="009D33DE" w:rsidP="006F6651">
      <w:pPr>
        <w:ind w:left="720"/>
      </w:pPr>
    </w:p>
    <w:p w14:paraId="32A2F648" w14:textId="081D46A4" w:rsidR="00AE55EC" w:rsidRPr="004F084B" w:rsidRDefault="009D33DE" w:rsidP="00C3152C">
      <w:pPr>
        <w:numPr>
          <w:ilvl w:val="0"/>
          <w:numId w:val="30"/>
        </w:numPr>
      </w:pPr>
      <w:r w:rsidRPr="004F084B">
        <w:t>Housing Trust Fund grants focused on eviction prevention, housing stability, and access to housing issues</w:t>
      </w:r>
      <w:r w:rsidR="005F3CB6">
        <w:t>.</w:t>
      </w:r>
    </w:p>
    <w:p w14:paraId="30CF01B2" w14:textId="77777777" w:rsidR="00AE55EC" w:rsidRPr="004F084B" w:rsidRDefault="00AE55EC" w:rsidP="00583092"/>
    <w:p w14:paraId="1080E5D4" w14:textId="1AE09484" w:rsidR="003553DB" w:rsidRPr="004F084B" w:rsidRDefault="003553DB" w:rsidP="00583092">
      <w:r w:rsidRPr="004F084B">
        <w:t>This manual applies to all CDBG</w:t>
      </w:r>
      <w:r w:rsidR="00F27FFE" w:rsidRPr="004F084B">
        <w:t>, ESG</w:t>
      </w:r>
      <w:r w:rsidR="00A67735" w:rsidRPr="004F084B">
        <w:t xml:space="preserve">, </w:t>
      </w:r>
      <w:r w:rsidR="00F27FFE" w:rsidRPr="004F084B">
        <w:t>HOPWA</w:t>
      </w:r>
      <w:r w:rsidR="00A67735" w:rsidRPr="004F084B">
        <w:t xml:space="preserve">, </w:t>
      </w:r>
      <w:r w:rsidR="002D48A8">
        <w:t xml:space="preserve">HOME, </w:t>
      </w:r>
      <w:r w:rsidR="00A67735" w:rsidRPr="004F084B">
        <w:t>General Fund, and Housing Trust Fund</w:t>
      </w:r>
      <w:r w:rsidRPr="004F084B">
        <w:t xml:space="preserve"> </w:t>
      </w:r>
      <w:r w:rsidR="00710E9F" w:rsidRPr="004F084B">
        <w:t xml:space="preserve">projects </w:t>
      </w:r>
      <w:r w:rsidRPr="004F084B">
        <w:t>in the</w:t>
      </w:r>
      <w:r w:rsidR="00AB4FF8">
        <w:t xml:space="preserve"> Access to Civil Justice, Access to Housing, Access to Opportunity, Community Building, Eviction Prevention &amp; Housing Stabilization, Financial Capability, and HIV Supportive Housing</w:t>
      </w:r>
      <w:r w:rsidRPr="004F084B">
        <w:t xml:space="preserve"> </w:t>
      </w:r>
      <w:r w:rsidR="00710E9F" w:rsidRPr="004F084B">
        <w:t>program areas</w:t>
      </w:r>
      <w:r w:rsidRPr="004F084B">
        <w:t xml:space="preserve">.  Capital and Public Space Improvement grantees should refer to the </w:t>
      </w:r>
      <w:r w:rsidR="00BD3D72" w:rsidRPr="004F084B">
        <w:rPr>
          <w:bCs/>
        </w:rPr>
        <w:t>MOHCD</w:t>
      </w:r>
      <w:r w:rsidRPr="004F084B">
        <w:rPr>
          <w:bCs/>
        </w:rPr>
        <w:t xml:space="preserve"> Capital Implementation Manual.  </w:t>
      </w:r>
      <w:r w:rsidRPr="004F084B">
        <w:t>This manual provides guidance on program and budget management, contract negotiation, requirements for financial controls, procurement of contractual services, monitoring</w:t>
      </w:r>
      <w:r w:rsidR="005772DE">
        <w:t>,</w:t>
      </w:r>
      <w:r w:rsidRPr="004F084B">
        <w:t xml:space="preserve"> and general administrative procedures.  This manual is intended as a general guide and does not replace or amend any of the provisions of the Grant Agreement.  </w:t>
      </w:r>
    </w:p>
    <w:p w14:paraId="3BFDB987" w14:textId="77777777" w:rsidR="003553DB" w:rsidRPr="004F084B" w:rsidRDefault="003553DB" w:rsidP="00583092"/>
    <w:p w14:paraId="0FC33CC6" w14:textId="1378F065" w:rsidR="0047141B" w:rsidRPr="004F084B" w:rsidRDefault="0047141B" w:rsidP="0047141B">
      <w:r w:rsidRPr="004F084B">
        <w:t xml:space="preserve">Non-profit organizations receiving grant awards from MOHCD are required to establish and maintain internal controls designed to ensure compliance with federal (including HUD), state </w:t>
      </w:r>
      <w:r w:rsidRPr="004F084B">
        <w:lastRenderedPageBreak/>
        <w:t>and local laws, regulations and program requirements.  This manual provides general information on procedures as well as the minimum requirements for establishing internal financial and program controls to effectively operate and manage program activities.  Grantees should review the full Grant Agreement and consult with the</w:t>
      </w:r>
      <w:r w:rsidR="00D63BF5">
        <w:t>ir</w:t>
      </w:r>
      <w:r w:rsidRPr="004F084B">
        <w:t xml:space="preserve"> assigned MOHCD </w:t>
      </w:r>
      <w:r w:rsidR="00A111B6">
        <w:t xml:space="preserve">Program Officer </w:t>
      </w:r>
      <w:r w:rsidRPr="004F084B">
        <w:t xml:space="preserve">if they have any questions or concerns about anything related to their grant.  If grantees have any questions of a legal nature, they should consult their attorney.  </w:t>
      </w:r>
    </w:p>
    <w:p w14:paraId="4FFF2B68" w14:textId="77777777" w:rsidR="0047141B" w:rsidRPr="004F084B" w:rsidRDefault="0047141B" w:rsidP="0047141B"/>
    <w:p w14:paraId="0B310675" w14:textId="77777777" w:rsidR="0099428C" w:rsidRPr="004F084B" w:rsidRDefault="0099428C" w:rsidP="0099428C">
      <w:r w:rsidRPr="004F084B">
        <w:t xml:space="preserve">The U.S. Office of Management and Budget (OMB) requires agencies that receive federal funds to comply with: </w:t>
      </w:r>
    </w:p>
    <w:p w14:paraId="72D16987" w14:textId="77777777" w:rsidR="0099428C" w:rsidRPr="004F084B" w:rsidRDefault="0099428C" w:rsidP="0099428C"/>
    <w:p w14:paraId="66CA54A1" w14:textId="77777777" w:rsidR="0099428C" w:rsidRPr="009A281C" w:rsidRDefault="0099428C" w:rsidP="00405A17">
      <w:r>
        <w:t xml:space="preserve">OMB Guidance: </w:t>
      </w:r>
      <w:r>
        <w:rPr>
          <w:i/>
        </w:rPr>
        <w:t>Administrative Requirements, Cost Principles, and Audit Requirements for Federal Awards (Super Circular) **</w:t>
      </w:r>
    </w:p>
    <w:p w14:paraId="7B1D969A" w14:textId="77777777" w:rsidR="0099428C" w:rsidRDefault="0099428C" w:rsidP="0099428C"/>
    <w:p w14:paraId="39278449" w14:textId="77777777" w:rsidR="0099428C" w:rsidRDefault="0099428C" w:rsidP="0099428C">
      <w:r>
        <w:t xml:space="preserve">** Located in </w:t>
      </w:r>
      <w:r w:rsidRPr="009A281C">
        <w:t>Title 2 of the Code of Federal Regulations</w:t>
      </w:r>
    </w:p>
    <w:p w14:paraId="3C0AC58D" w14:textId="77777777" w:rsidR="0099428C" w:rsidRDefault="0099428C" w:rsidP="0099428C"/>
    <w:p w14:paraId="329AD277" w14:textId="28F95AD0" w:rsidR="007565CF" w:rsidRDefault="0099428C" w:rsidP="0099428C">
      <w:r>
        <w:t>In addition to the new OMB Guidance, all grantees are required to comply with a variety of regulations and policies detailed in the</w:t>
      </w:r>
      <w:r w:rsidR="00D63BF5">
        <w:t>ir</w:t>
      </w:r>
      <w:r>
        <w:t xml:space="preserve"> Grant Agreement </w:t>
      </w:r>
      <w:r w:rsidR="00D63BF5">
        <w:t xml:space="preserve">with </w:t>
      </w:r>
      <w:r>
        <w:t>the City and County of San Francisco.  Each gr</w:t>
      </w:r>
      <w:r w:rsidR="007565CF">
        <w:t>antee must be an approved supplier</w:t>
      </w:r>
      <w:r>
        <w:t xml:space="preserve"> of the City and County.  If the non-profit organization is a new grantee with the City, </w:t>
      </w:r>
      <w:r w:rsidR="00A54407">
        <w:t>they will need to take the necessary steps to become an approved supplier.</w:t>
      </w:r>
      <w:r>
        <w:t xml:space="preserve"> </w:t>
      </w:r>
      <w:r w:rsidR="00E86D2F">
        <w:t xml:space="preserve">These steps include San Francisco Business Tax Registration and Chapter 12B Equal Benefits Declaration. </w:t>
      </w:r>
      <w:r w:rsidR="00A54407">
        <w:t>For steps and instructions, please visit:</w:t>
      </w:r>
    </w:p>
    <w:p w14:paraId="3594E994" w14:textId="77777777" w:rsidR="007565CF" w:rsidRDefault="007565CF" w:rsidP="0099428C"/>
    <w:p w14:paraId="044994AF" w14:textId="2CD1B2E6" w:rsidR="0099428C" w:rsidRDefault="0056617E" w:rsidP="0099428C">
      <w:pPr>
        <w:rPr>
          <w:color w:val="000000"/>
        </w:rPr>
      </w:pPr>
      <w:hyperlink r:id="rId13" w:history="1">
        <w:r w:rsidR="007565CF">
          <w:rPr>
            <w:rStyle w:val="Hyperlink"/>
          </w:rPr>
          <w:t>https://sfcitypartner.sfgov.org/pages/become-a-supplier.aspx</w:t>
        </w:r>
      </w:hyperlink>
    </w:p>
    <w:p w14:paraId="15D9A49D" w14:textId="77777777" w:rsidR="0099428C" w:rsidRDefault="0099428C" w:rsidP="0099428C"/>
    <w:p w14:paraId="1DB08890" w14:textId="1873B8DB" w:rsidR="00A111B6" w:rsidRDefault="00A111B6" w:rsidP="0099428C"/>
    <w:p w14:paraId="2A877A68" w14:textId="77777777" w:rsidR="00A111B6" w:rsidRDefault="00A111B6" w:rsidP="0099428C"/>
    <w:p w14:paraId="0D817F3C" w14:textId="77777777" w:rsidR="003553DB" w:rsidRDefault="003553DB" w:rsidP="00A246CB">
      <w:pPr>
        <w:pStyle w:val="Heading1"/>
        <w:jc w:val="center"/>
        <w:rPr>
          <w:rFonts w:ascii="Times New Roman" w:hAnsi="Times New Roman"/>
        </w:rPr>
      </w:pPr>
      <w:r>
        <w:rPr>
          <w:rFonts w:ascii="Times New Roman" w:hAnsi="Times New Roman"/>
        </w:rPr>
        <w:br w:type="page"/>
      </w:r>
      <w:r>
        <w:rPr>
          <w:rFonts w:ascii="Times New Roman" w:hAnsi="Times New Roman"/>
        </w:rPr>
        <w:lastRenderedPageBreak/>
        <w:t>CHAPTER II.  PROGRAM MANAGEMENT</w:t>
      </w:r>
    </w:p>
    <w:p w14:paraId="3BFAD732" w14:textId="77777777" w:rsidR="003553DB" w:rsidRDefault="003553DB" w:rsidP="00583092"/>
    <w:p w14:paraId="211E6E0F" w14:textId="5E1275FE" w:rsidR="003553DB" w:rsidRDefault="00F27FFE" w:rsidP="00583092">
      <w:r>
        <w:t xml:space="preserve">Grants from </w:t>
      </w:r>
      <w:r w:rsidR="00BD3D72">
        <w:t>MOHCD</w:t>
      </w:r>
      <w:r>
        <w:t xml:space="preserve"> </w:t>
      </w:r>
      <w:r w:rsidR="003553DB">
        <w:t xml:space="preserve">are for the specific purpose of funding programs and capital projects that will provide services to low and moderate-income residents of San Francisco.  All </w:t>
      </w:r>
      <w:r w:rsidR="00BD3D72">
        <w:t>MOHCD</w:t>
      </w:r>
      <w:r w:rsidR="00CA19D9">
        <w:t>-</w:t>
      </w:r>
      <w:r w:rsidR="003553DB">
        <w:t xml:space="preserve">funded employees of grantees must be trained on the requirements detailed in this manual.  </w:t>
      </w:r>
    </w:p>
    <w:p w14:paraId="27710793" w14:textId="77777777" w:rsidR="003553DB" w:rsidRDefault="003553DB" w:rsidP="00583092"/>
    <w:p w14:paraId="363C48E0" w14:textId="4763100F" w:rsidR="006855B5" w:rsidRDefault="003553DB" w:rsidP="00583092">
      <w:r>
        <w:t xml:space="preserve">Upon recommendation for funding, grantees will negotiate </w:t>
      </w:r>
      <w:r w:rsidR="00710E9F">
        <w:t>their annual W</w:t>
      </w:r>
      <w:r>
        <w:t>ork</w:t>
      </w:r>
      <w:r w:rsidR="00710E9F">
        <w:t xml:space="preserve"> P</w:t>
      </w:r>
      <w:r>
        <w:t xml:space="preserve">lan </w:t>
      </w:r>
      <w:r w:rsidR="00710E9F">
        <w:t xml:space="preserve">(including </w:t>
      </w:r>
      <w:r w:rsidR="004A1141">
        <w:t xml:space="preserve">Narrative, </w:t>
      </w:r>
      <w:r w:rsidR="00710E9F">
        <w:t xml:space="preserve">Activities and Outcomes, </w:t>
      </w:r>
      <w:r w:rsidR="005B58A9">
        <w:t xml:space="preserve">Clients and Neighborhoods, and </w:t>
      </w:r>
      <w:r w:rsidR="00710E9F">
        <w:t>Budget</w:t>
      </w:r>
      <w:r w:rsidR="005B58A9">
        <w:t xml:space="preserve"> sections)</w:t>
      </w:r>
      <w:r w:rsidR="00710E9F">
        <w:t xml:space="preserve">, with MOHCD </w:t>
      </w:r>
      <w:r>
        <w:t xml:space="preserve">for the upcoming program year.  This negotiation process will be done via </w:t>
      </w:r>
      <w:r w:rsidR="0058702A">
        <w:t>MOHCD’S online Grant Management System</w:t>
      </w:r>
      <w:r w:rsidR="00FF60E7">
        <w:t xml:space="preserve"> (GMS)</w:t>
      </w:r>
      <w:r>
        <w:t xml:space="preserve">.  </w:t>
      </w:r>
    </w:p>
    <w:p w14:paraId="41C4953D" w14:textId="77777777" w:rsidR="006855B5" w:rsidRDefault="006855B5" w:rsidP="00583092"/>
    <w:p w14:paraId="2D9E1329" w14:textId="3E6BEA6A" w:rsidR="003553DB" w:rsidRDefault="003553DB" w:rsidP="00583092">
      <w:pPr>
        <w:rPr>
          <w:i/>
          <w:iCs/>
        </w:rPr>
      </w:pPr>
      <w:r>
        <w:t xml:space="preserve">Once </w:t>
      </w:r>
      <w:r w:rsidR="00BD3D72">
        <w:t>MOHCD</w:t>
      </w:r>
      <w:r>
        <w:t xml:space="preserve"> approves the </w:t>
      </w:r>
      <w:r w:rsidR="00710E9F">
        <w:t>Work Plan</w:t>
      </w:r>
      <w:r>
        <w:t xml:space="preserve">, grantees will enter into a Grant Agreement to deliver the agreed upon programs and services. The negotiated </w:t>
      </w:r>
      <w:r w:rsidR="00710E9F">
        <w:t>Work Plan (including budget)</w:t>
      </w:r>
      <w:r>
        <w:t xml:space="preserve"> will then be reflected on the </w:t>
      </w:r>
      <w:r w:rsidR="00FF60E7">
        <w:t>GMS</w:t>
      </w:r>
      <w:r>
        <w:t xml:space="preserve"> online reporting system</w:t>
      </w:r>
      <w:r w:rsidR="00FF60E7">
        <w:t xml:space="preserve">. </w:t>
      </w:r>
      <w:r>
        <w:t xml:space="preserve"> Grantees will report to </w:t>
      </w:r>
      <w:r w:rsidR="00BD3D72">
        <w:t>MOHCD</w:t>
      </w:r>
      <w:r>
        <w:t xml:space="preserve"> on a monthly basis, unless as otherwise described in this manual.  Specific program areas may have additional reporting requirements as mandated by </w:t>
      </w:r>
      <w:r w:rsidR="00BD3D72">
        <w:t>MOHCD</w:t>
      </w:r>
      <w:r>
        <w:t xml:space="preserve"> that may include the tracking of additional data separately from </w:t>
      </w:r>
      <w:r w:rsidR="004A1141">
        <w:t>GMS</w:t>
      </w:r>
      <w:r w:rsidR="00C117F6">
        <w:t xml:space="preserve">.  </w:t>
      </w:r>
    </w:p>
    <w:p w14:paraId="2451E91B" w14:textId="77777777" w:rsidR="00211AA6" w:rsidRDefault="00211AA6" w:rsidP="00583092">
      <w:pPr>
        <w:rPr>
          <w:i/>
          <w:iCs/>
        </w:rPr>
      </w:pPr>
    </w:p>
    <w:p w14:paraId="75688925" w14:textId="77777777" w:rsidR="003553DB" w:rsidRPr="00F862A2" w:rsidRDefault="00C511BA" w:rsidP="00583092">
      <w:pPr>
        <w:pStyle w:val="Heading4"/>
        <w:spacing w:before="0" w:after="0"/>
        <w:rPr>
          <w:rFonts w:ascii="Times New Roman" w:hAnsi="Times New Roman"/>
          <w:bCs/>
          <w:u w:val="single"/>
        </w:rPr>
      </w:pPr>
      <w:r w:rsidRPr="00F862A2">
        <w:rPr>
          <w:rFonts w:ascii="Times New Roman" w:hAnsi="Times New Roman"/>
          <w:bCs/>
          <w:u w:val="single"/>
        </w:rPr>
        <w:t xml:space="preserve">A.  WORK PLAN </w:t>
      </w:r>
    </w:p>
    <w:p w14:paraId="46625690" w14:textId="77777777" w:rsidR="003553DB" w:rsidRDefault="003553DB" w:rsidP="00583092">
      <w:pPr>
        <w:rPr>
          <w:b/>
          <w:bCs/>
        </w:rPr>
      </w:pPr>
    </w:p>
    <w:p w14:paraId="459FB18C" w14:textId="77777777" w:rsidR="003553DB" w:rsidRDefault="003553DB" w:rsidP="00C3152C">
      <w:pPr>
        <w:numPr>
          <w:ilvl w:val="0"/>
          <w:numId w:val="19"/>
        </w:numPr>
        <w:rPr>
          <w:b/>
          <w:bCs/>
        </w:rPr>
      </w:pPr>
      <w:r>
        <w:rPr>
          <w:b/>
          <w:bCs/>
        </w:rPr>
        <w:t>Work Plan Definition</w:t>
      </w:r>
    </w:p>
    <w:p w14:paraId="1A6B1C88" w14:textId="77777777" w:rsidR="003553DB" w:rsidRDefault="003553DB" w:rsidP="00583092"/>
    <w:p w14:paraId="1A324AA0" w14:textId="3D73AC19" w:rsidR="003553DB" w:rsidRPr="006F6651" w:rsidRDefault="003553DB" w:rsidP="000B1A98">
      <w:pPr>
        <w:rPr>
          <w:bCs/>
        </w:rPr>
      </w:pPr>
      <w:r>
        <w:t xml:space="preserve">The work plan is an outline of the major components of a </w:t>
      </w:r>
      <w:r w:rsidR="007D220A">
        <w:t xml:space="preserve">project </w:t>
      </w:r>
      <w:r>
        <w:t xml:space="preserve">to support successful delivery of services to individuals.  It details projected </w:t>
      </w:r>
      <w:r w:rsidR="007D220A" w:rsidRPr="0099428C">
        <w:rPr>
          <w:b/>
          <w:u w:val="single"/>
        </w:rPr>
        <w:t>A</w:t>
      </w:r>
      <w:r w:rsidRPr="0099428C">
        <w:rPr>
          <w:b/>
          <w:u w:val="single"/>
        </w:rPr>
        <w:t xml:space="preserve">ctivities and </w:t>
      </w:r>
      <w:r w:rsidR="007D220A" w:rsidRPr="0099428C">
        <w:rPr>
          <w:b/>
          <w:u w:val="single"/>
        </w:rPr>
        <w:t>O</w:t>
      </w:r>
      <w:r w:rsidR="005D2F59" w:rsidRPr="0099428C">
        <w:rPr>
          <w:b/>
          <w:u w:val="single"/>
        </w:rPr>
        <w:t>utcomes</w:t>
      </w:r>
      <w:r w:rsidR="005D2F59">
        <w:t xml:space="preserve"> </w:t>
      </w:r>
      <w:r>
        <w:t>of the program</w:t>
      </w:r>
      <w:r w:rsidR="005D2F59">
        <w:t xml:space="preserve"> (including annual numeric goals)</w:t>
      </w:r>
      <w:r>
        <w:t xml:space="preserve">, </w:t>
      </w:r>
      <w:r w:rsidR="005D2F59">
        <w:t xml:space="preserve">along with </w:t>
      </w:r>
      <w:r>
        <w:t xml:space="preserve">the </w:t>
      </w:r>
      <w:r w:rsidR="00B06FDA" w:rsidRPr="00B06FDA">
        <w:rPr>
          <w:b/>
          <w:u w:val="single"/>
        </w:rPr>
        <w:t xml:space="preserve">total </w:t>
      </w:r>
      <w:r w:rsidR="005D2F59" w:rsidRPr="00B06FDA">
        <w:rPr>
          <w:b/>
          <w:u w:val="single"/>
        </w:rPr>
        <w:t xml:space="preserve">projected </w:t>
      </w:r>
      <w:r w:rsidRPr="00B06FDA">
        <w:rPr>
          <w:b/>
          <w:u w:val="single"/>
        </w:rPr>
        <w:t xml:space="preserve">number of </w:t>
      </w:r>
      <w:r w:rsidR="00B06FDA" w:rsidRPr="00B06FDA">
        <w:rPr>
          <w:b/>
          <w:u w:val="single"/>
        </w:rPr>
        <w:t>U</w:t>
      </w:r>
      <w:r w:rsidRPr="00B06FDA">
        <w:rPr>
          <w:b/>
          <w:u w:val="single"/>
        </w:rPr>
        <w:t xml:space="preserve">nduplicated </w:t>
      </w:r>
      <w:r w:rsidR="00B06FDA" w:rsidRPr="00B06FDA">
        <w:rPr>
          <w:b/>
          <w:u w:val="single"/>
        </w:rPr>
        <w:t>C</w:t>
      </w:r>
      <w:r w:rsidRPr="00B06FDA">
        <w:rPr>
          <w:b/>
          <w:u w:val="single"/>
        </w:rPr>
        <w:t>lients</w:t>
      </w:r>
      <w:r w:rsidR="00B06FDA">
        <w:rPr>
          <w:b/>
        </w:rPr>
        <w:t xml:space="preserve">, </w:t>
      </w:r>
      <w:r w:rsidR="00B06FDA" w:rsidRPr="00B06FDA">
        <w:t>and</w:t>
      </w:r>
      <w:r w:rsidR="00B06FDA">
        <w:rPr>
          <w:b/>
        </w:rPr>
        <w:t xml:space="preserve"> </w:t>
      </w:r>
      <w:r w:rsidR="00B06FDA" w:rsidRPr="00B06FDA">
        <w:rPr>
          <w:b/>
          <w:u w:val="single"/>
        </w:rPr>
        <w:t>unduplicated clients</w:t>
      </w:r>
      <w:r w:rsidR="005D2F59" w:rsidRPr="00B06FDA">
        <w:rPr>
          <w:b/>
          <w:u w:val="single"/>
        </w:rPr>
        <w:t xml:space="preserve"> served</w:t>
      </w:r>
      <w:r w:rsidRPr="00B06FDA">
        <w:rPr>
          <w:b/>
          <w:u w:val="single"/>
        </w:rPr>
        <w:t xml:space="preserve"> per </w:t>
      </w:r>
      <w:r w:rsidR="007D220A" w:rsidRPr="00B06FDA">
        <w:rPr>
          <w:b/>
          <w:u w:val="single"/>
        </w:rPr>
        <w:t>N</w:t>
      </w:r>
      <w:r w:rsidRPr="00B06FDA">
        <w:rPr>
          <w:b/>
          <w:u w:val="single"/>
        </w:rPr>
        <w:t>eighborhood</w:t>
      </w:r>
      <w:r w:rsidR="00CD415D">
        <w:rPr>
          <w:b/>
          <w:u w:val="single"/>
        </w:rPr>
        <w:t xml:space="preserve"> (and per Strategy if the project includes multiple Strategies)</w:t>
      </w:r>
      <w:r>
        <w:t xml:space="preserve">.  </w:t>
      </w:r>
      <w:r w:rsidR="005D2F59">
        <w:t xml:space="preserve">Grantees provide a detailed line-item </w:t>
      </w:r>
      <w:r w:rsidR="007D220A" w:rsidRPr="0099428C">
        <w:rPr>
          <w:b/>
          <w:u w:val="single"/>
        </w:rPr>
        <w:t>B</w:t>
      </w:r>
      <w:r w:rsidR="005D2F59" w:rsidRPr="0099428C">
        <w:rPr>
          <w:b/>
          <w:u w:val="single"/>
        </w:rPr>
        <w:t>udget</w:t>
      </w:r>
      <w:r w:rsidR="005D2F59">
        <w:t xml:space="preserve">, and brief </w:t>
      </w:r>
      <w:r w:rsidR="007D220A" w:rsidRPr="0099428C">
        <w:rPr>
          <w:b/>
          <w:u w:val="single"/>
        </w:rPr>
        <w:t>N</w:t>
      </w:r>
      <w:r w:rsidR="005D2F59" w:rsidRPr="0099428C">
        <w:rPr>
          <w:b/>
          <w:u w:val="single"/>
        </w:rPr>
        <w:t>arrative</w:t>
      </w:r>
      <w:r w:rsidR="005D2F59">
        <w:t xml:space="preserve"> description of key program elements.  </w:t>
      </w:r>
      <w:r w:rsidR="007D220A">
        <w:t xml:space="preserve">Grantees also provide their project contact information when setting up the </w:t>
      </w:r>
      <w:r w:rsidR="004A1141">
        <w:t>w</w:t>
      </w:r>
      <w:r w:rsidR="007D220A">
        <w:t>ork</w:t>
      </w:r>
      <w:r w:rsidR="004A1141">
        <w:t xml:space="preserve"> </w:t>
      </w:r>
      <w:r w:rsidR="007D220A">
        <w:t>plan.</w:t>
      </w:r>
    </w:p>
    <w:p w14:paraId="16659EF7" w14:textId="77777777" w:rsidR="003553DB" w:rsidRDefault="003553DB" w:rsidP="00583092"/>
    <w:p w14:paraId="53901E1B" w14:textId="77777777" w:rsidR="003553DB" w:rsidRDefault="003553DB" w:rsidP="00C3152C">
      <w:pPr>
        <w:numPr>
          <w:ilvl w:val="0"/>
          <w:numId w:val="19"/>
        </w:numPr>
        <w:rPr>
          <w:b/>
          <w:bCs/>
        </w:rPr>
      </w:pPr>
      <w:r>
        <w:rPr>
          <w:b/>
          <w:bCs/>
        </w:rPr>
        <w:t xml:space="preserve"> Activities and </w:t>
      </w:r>
      <w:r w:rsidR="00C029B0">
        <w:rPr>
          <w:b/>
          <w:bCs/>
        </w:rPr>
        <w:t>Outcomes</w:t>
      </w:r>
    </w:p>
    <w:p w14:paraId="5ADFCA5F" w14:textId="77777777" w:rsidR="003553DB" w:rsidRDefault="003553DB" w:rsidP="00583092"/>
    <w:p w14:paraId="5663932D" w14:textId="05D167D2" w:rsidR="003553DB" w:rsidRDefault="005D2F59" w:rsidP="00583092">
      <w:r>
        <w:t>The basic deliverables for the project are captured in the Activities and Outcomes section.</w:t>
      </w:r>
      <w:r w:rsidR="00200861">
        <w:t xml:space="preserve">  There are two types of Activities: Client Activities and Outcomes, and Non-Client Activities.  Client Activities and Outcomes are those which are linked to a specific client</w:t>
      </w:r>
      <w:r w:rsidR="00FD5CFE">
        <w:t xml:space="preserve"> on GMS</w:t>
      </w:r>
      <w:r w:rsidR="00200861">
        <w:t>.</w:t>
      </w:r>
      <w:r w:rsidR="00FD5CFE">
        <w:t xml:space="preserve"> </w:t>
      </w:r>
      <w:r w:rsidR="00200861">
        <w:t xml:space="preserve"> </w:t>
      </w:r>
      <w:r w:rsidR="00C029B0">
        <w:t xml:space="preserve">Activities are the services </w:t>
      </w:r>
      <w:r w:rsidR="00C029B0" w:rsidRPr="005B58A9">
        <w:t>provided (for example: “Clients at risk of eviction are provided with full legal representation.”)  Outcomes are the result of that service (“Clients avoid eviction and are able to remain in their current unit.”).</w:t>
      </w:r>
      <w:r w:rsidR="00C029B0">
        <w:t xml:space="preserve">  Each </w:t>
      </w:r>
      <w:r w:rsidR="00FD5CFE">
        <w:t>Strategy</w:t>
      </w:r>
      <w:r w:rsidR="00C029B0">
        <w:t xml:space="preserve"> has a defined set of activities and outcomes,</w:t>
      </w:r>
      <w:r w:rsidR="00200861">
        <w:t xml:space="preserve"> and each activity has required outcomes associated with it.</w:t>
      </w:r>
      <w:r w:rsidR="00C029B0">
        <w:t xml:space="preserve"> </w:t>
      </w:r>
      <w:r w:rsidR="00FD5CFE">
        <w:t>If a project includes multiple Strategies within the same Program Area, then the Activities and Outcomes section of the workplan will include a separate section for each strategy.</w:t>
      </w:r>
    </w:p>
    <w:p w14:paraId="4511F812" w14:textId="77777777" w:rsidR="00200861" w:rsidRDefault="00200861" w:rsidP="00583092"/>
    <w:p w14:paraId="5D669265" w14:textId="2EC54123" w:rsidR="00200861" w:rsidRDefault="00200861" w:rsidP="00583092">
      <w:r>
        <w:t>Non-Client Activities are those which track deliverables other than individual client</w:t>
      </w:r>
      <w:r w:rsidR="006522B8">
        <w:t>s or specific nonprofits</w:t>
      </w:r>
      <w:r>
        <w:t xml:space="preserve"> served.  Some examples include:  number of meetings held or outreach events held, number of staff attending training, or a final plan produced.  Depending on the unit being measured, the grantee may be reporting on a num</w:t>
      </w:r>
      <w:r w:rsidR="006522B8">
        <w:t>eric goal</w:t>
      </w:r>
      <w:r>
        <w:t xml:space="preserve"> (number of meetings held) or a </w:t>
      </w:r>
      <w:r>
        <w:lastRenderedPageBreak/>
        <w:t>completion date (the date by which the final report is completed).</w:t>
      </w:r>
      <w:r w:rsidR="00FD5CFE">
        <w:t xml:space="preserve">  Non-client activities are not linked to an individual client on GMS.  They are reported through the monthly Activity and Outcome summary form in Reporting.</w:t>
      </w:r>
    </w:p>
    <w:p w14:paraId="430B0DF3" w14:textId="77777777" w:rsidR="00200861" w:rsidRDefault="00200861" w:rsidP="00583092"/>
    <w:p w14:paraId="1A22F447" w14:textId="009491C8" w:rsidR="003553DB" w:rsidRPr="0047141B" w:rsidRDefault="005B58A9" w:rsidP="00C3152C">
      <w:pPr>
        <w:numPr>
          <w:ilvl w:val="0"/>
          <w:numId w:val="19"/>
        </w:numPr>
        <w:rPr>
          <w:b/>
          <w:bCs/>
        </w:rPr>
      </w:pPr>
      <w:r>
        <w:rPr>
          <w:b/>
          <w:bCs/>
        </w:rPr>
        <w:t>Clients and Neighborhoods</w:t>
      </w:r>
    </w:p>
    <w:p w14:paraId="4A0208D5" w14:textId="77777777" w:rsidR="003553DB" w:rsidRPr="0047141B" w:rsidRDefault="003553DB" w:rsidP="00583092"/>
    <w:p w14:paraId="4B19A054" w14:textId="296EF669" w:rsidR="000B1A98" w:rsidRDefault="003553DB" w:rsidP="00583092">
      <w:r w:rsidRPr="0047141B">
        <w:t>The Neighborhood</w:t>
      </w:r>
      <w:r w:rsidR="00AA2161">
        <w:t>s Served</w:t>
      </w:r>
      <w:r w:rsidRPr="0047141B">
        <w:t xml:space="preserve"> section of the work plan </w:t>
      </w:r>
      <w:r w:rsidR="00FD5CFE">
        <w:t xml:space="preserve">first </w:t>
      </w:r>
      <w:r w:rsidR="000B1A98" w:rsidRPr="0047141B">
        <w:t>requires</w:t>
      </w:r>
      <w:r w:rsidRPr="0047141B">
        <w:t xml:space="preserve"> a single figure reflecting the </w:t>
      </w:r>
      <w:r w:rsidR="00FD5CFE">
        <w:t>T</w:t>
      </w:r>
      <w:r w:rsidRPr="0047141B">
        <w:t xml:space="preserve">otal </w:t>
      </w:r>
      <w:r w:rsidR="00FD5CFE">
        <w:t>N</w:t>
      </w:r>
      <w:r w:rsidRPr="0047141B">
        <w:t xml:space="preserve">umber of </w:t>
      </w:r>
      <w:r w:rsidR="00FD5CFE">
        <w:t>U</w:t>
      </w:r>
      <w:r w:rsidRPr="0047141B">
        <w:t xml:space="preserve">nduplicated </w:t>
      </w:r>
      <w:r w:rsidR="00FD5CFE">
        <w:t>C</w:t>
      </w:r>
      <w:r w:rsidRPr="0047141B">
        <w:t>lients</w:t>
      </w:r>
      <w:r w:rsidR="00633F68">
        <w:t xml:space="preserve"> </w:t>
      </w:r>
      <w:r w:rsidR="00FD5CFE">
        <w:t>for this P</w:t>
      </w:r>
      <w:r w:rsidRPr="0047141B">
        <w:t>ro</w:t>
      </w:r>
      <w:r w:rsidR="000B1A98" w:rsidRPr="0047141B">
        <w:t>ject</w:t>
      </w:r>
      <w:r w:rsidRPr="0047141B">
        <w:t xml:space="preserve">.  </w:t>
      </w:r>
      <w:r w:rsidR="000B1A98" w:rsidRPr="0047141B">
        <w:t xml:space="preserve">This number cannot be less than the largest number of clients served by a single activity, or more than the sum of all the activity numbers.  It will usually be somewhere in the middle, depending on how many clients are </w:t>
      </w:r>
      <w:r w:rsidR="00AA2161">
        <w:t>served by multiple</w:t>
      </w:r>
      <w:r w:rsidR="000B1A98" w:rsidRPr="0047141B">
        <w:t xml:space="preserve"> activities.  </w:t>
      </w:r>
    </w:p>
    <w:p w14:paraId="20EFEB12" w14:textId="34C5497A" w:rsidR="00E3093D" w:rsidRDefault="00E3093D" w:rsidP="00583092"/>
    <w:p w14:paraId="0FA0933B" w14:textId="6D6560EE" w:rsidR="00E3093D" w:rsidRPr="006C4E1F" w:rsidRDefault="00E3093D" w:rsidP="00583092">
      <w:r w:rsidRPr="006C4E1F">
        <w:t>Next, for each Strategy funded through this project the agency will provide the</w:t>
      </w:r>
      <w:r w:rsidR="006C4E1F">
        <w:t xml:space="preserve"> Projected # of Unduplicated Clients by Strategy.  If there is only one Strategy in the project, then this number will be the same as the Total Number of Unduplicated Clients.  </w:t>
      </w:r>
      <w:r w:rsidRPr="006C4E1F">
        <w:t xml:space="preserve">If the project includes multiple Strategies, then the sum of these numbers must be greater than or equal to the </w:t>
      </w:r>
      <w:r w:rsidR="006C4E1F" w:rsidRPr="006C4E1F">
        <w:t xml:space="preserve">Total Unduplicated Clients for the Project.  </w:t>
      </w:r>
      <w:r w:rsidRPr="006C4E1F">
        <w:t xml:space="preserve"> </w:t>
      </w:r>
    </w:p>
    <w:p w14:paraId="3128A543" w14:textId="77777777" w:rsidR="000B1A98" w:rsidRPr="0047141B" w:rsidRDefault="000B1A98" w:rsidP="00583092"/>
    <w:p w14:paraId="7F58C0A5" w14:textId="14982011" w:rsidR="000B1A98" w:rsidRDefault="00021C7C" w:rsidP="00583092">
      <w:r>
        <w:t>T</w:t>
      </w:r>
      <w:r w:rsidR="006C4E1F">
        <w:t>he</w:t>
      </w:r>
      <w:r w:rsidR="000B1A98" w:rsidRPr="0047141B">
        <w:t xml:space="preserve"> total </w:t>
      </w:r>
      <w:r w:rsidR="006C4E1F">
        <w:t xml:space="preserve">number of </w:t>
      </w:r>
      <w:r w:rsidR="000B1A98" w:rsidRPr="0047141B">
        <w:t xml:space="preserve">unduplicated </w:t>
      </w:r>
      <w:r w:rsidR="006C4E1F">
        <w:t>clients</w:t>
      </w:r>
      <w:r w:rsidR="000B1A98" w:rsidRPr="0047141B">
        <w:t xml:space="preserve"> then </w:t>
      </w:r>
      <w:r>
        <w:t>is</w:t>
      </w:r>
      <w:r w:rsidR="000B1A98" w:rsidRPr="0047141B">
        <w:t xml:space="preserve"> broken down into numbers per neighborhood (for example, how many clients are projected to be from Bayview Hunters Point or the Mission).</w:t>
      </w:r>
      <w:r w:rsidR="006C4E1F">
        <w:t xml:space="preserve">  The sum of the neighborhood numbers must equal the Total Number of Unduplicated Clients.</w:t>
      </w:r>
    </w:p>
    <w:p w14:paraId="3E030141" w14:textId="4F71ED81" w:rsidR="00A54631" w:rsidRDefault="00A54631" w:rsidP="00583092"/>
    <w:p w14:paraId="51125DC3" w14:textId="2C5ED25F" w:rsidR="00587AF7" w:rsidRPr="00021C7C" w:rsidRDefault="00021C7C" w:rsidP="006B593E">
      <w:r>
        <w:t>Finally, the total number of unduplicated clients is broken down by race/ethnicity.  These annual p</w:t>
      </w:r>
      <w:r w:rsidRPr="00021C7C">
        <w:t>rojections will use broad Race/Ethnicity Categories: Asian, Black, Indigenous, Latino, Middle Eastern/West Asian or North African, Pacific Islander, White and Multi-race</w:t>
      </w:r>
      <w:r>
        <w:t>.</w:t>
      </w:r>
    </w:p>
    <w:p w14:paraId="57D17F00" w14:textId="1B01F799" w:rsidR="006C4E1F" w:rsidRDefault="006C4E1F" w:rsidP="00583092"/>
    <w:p w14:paraId="35845ED5" w14:textId="1D319E7E" w:rsidR="006C4E1F" w:rsidRPr="006C4E1F" w:rsidRDefault="006C4E1F" w:rsidP="00583092">
      <w:r w:rsidRPr="006C4E1F">
        <w:t>Each of these rules is validated on GMS.  After saving or submitting the form,</w:t>
      </w:r>
      <w:r>
        <w:t xml:space="preserve"> please review any validation messages that appear on this form and make necessary adjustments to the information entered into the Clients and Neighborhoods form</w:t>
      </w:r>
      <w:r w:rsidR="00001B90">
        <w:t xml:space="preserve"> (or the Activities and Outcomes form if there is a cross-form validation issue).</w:t>
      </w:r>
    </w:p>
    <w:p w14:paraId="0AE37AD2" w14:textId="77777777" w:rsidR="000B1A98" w:rsidRDefault="000B1A98" w:rsidP="00583092">
      <w:pPr>
        <w:rPr>
          <w:highlight w:val="yellow"/>
        </w:rPr>
      </w:pPr>
    </w:p>
    <w:p w14:paraId="53EB8DF3" w14:textId="77777777" w:rsidR="000B1A98" w:rsidRPr="0047141B" w:rsidRDefault="000B1A98" w:rsidP="00C3152C">
      <w:pPr>
        <w:numPr>
          <w:ilvl w:val="0"/>
          <w:numId w:val="19"/>
        </w:numPr>
        <w:rPr>
          <w:b/>
        </w:rPr>
      </w:pPr>
      <w:r w:rsidRPr="0047141B">
        <w:rPr>
          <w:b/>
        </w:rPr>
        <w:t>Narrative</w:t>
      </w:r>
    </w:p>
    <w:p w14:paraId="0EB17DF2" w14:textId="77777777" w:rsidR="000B1A98" w:rsidRDefault="000B1A98" w:rsidP="000B1A98"/>
    <w:p w14:paraId="4A395826" w14:textId="21C64F20" w:rsidR="000B1A98" w:rsidRDefault="000B1A98" w:rsidP="000B1A98">
      <w:r>
        <w:t>For most program area</w:t>
      </w:r>
      <w:r w:rsidR="00AD5C6E">
        <w:t>s</w:t>
      </w:r>
      <w:r>
        <w:t xml:space="preserve"> there are four narrative sections:</w:t>
      </w:r>
    </w:p>
    <w:p w14:paraId="14F77C3B" w14:textId="77777777" w:rsidR="000B1A98" w:rsidRPr="006F6651" w:rsidRDefault="000B1A98" w:rsidP="000B1A98"/>
    <w:p w14:paraId="75658F6A" w14:textId="77777777" w:rsidR="000B1A98" w:rsidRPr="006F6651" w:rsidRDefault="000B1A98" w:rsidP="00C3152C">
      <w:pPr>
        <w:numPr>
          <w:ilvl w:val="0"/>
          <w:numId w:val="31"/>
        </w:numPr>
        <w:rPr>
          <w:bCs/>
        </w:rPr>
      </w:pPr>
      <w:r w:rsidRPr="006F6651">
        <w:rPr>
          <w:bCs/>
        </w:rPr>
        <w:t>Q1. Describe the clients this project will serve, along with the needs they have and challenges they face.</w:t>
      </w:r>
    </w:p>
    <w:p w14:paraId="543BC740" w14:textId="77777777" w:rsidR="000B1A98" w:rsidRPr="006F6651" w:rsidRDefault="000B1A98" w:rsidP="000B1A98">
      <w:pPr>
        <w:rPr>
          <w:bCs/>
        </w:rPr>
      </w:pPr>
    </w:p>
    <w:p w14:paraId="1457B1E7" w14:textId="77777777" w:rsidR="000B1A98" w:rsidRPr="006F6651" w:rsidRDefault="000B1A98" w:rsidP="00C3152C">
      <w:pPr>
        <w:numPr>
          <w:ilvl w:val="0"/>
          <w:numId w:val="31"/>
        </w:numPr>
        <w:rPr>
          <w:bCs/>
        </w:rPr>
      </w:pPr>
      <w:r w:rsidRPr="006F6651">
        <w:rPr>
          <w:bCs/>
        </w:rPr>
        <w:t>Q2. Describe project design and implementation, including how the project addresses the needs described above.</w:t>
      </w:r>
    </w:p>
    <w:p w14:paraId="0350A19F" w14:textId="77777777" w:rsidR="000B1A98" w:rsidRPr="006F6651" w:rsidRDefault="000B1A98" w:rsidP="000B1A98">
      <w:pPr>
        <w:rPr>
          <w:bCs/>
        </w:rPr>
      </w:pPr>
    </w:p>
    <w:p w14:paraId="4754F4CD" w14:textId="77777777" w:rsidR="000B1A98" w:rsidRPr="006F6651" w:rsidRDefault="000B1A98" w:rsidP="00C3152C">
      <w:pPr>
        <w:numPr>
          <w:ilvl w:val="0"/>
          <w:numId w:val="31"/>
        </w:numPr>
        <w:rPr>
          <w:bCs/>
        </w:rPr>
      </w:pPr>
      <w:r w:rsidRPr="006F6651">
        <w:rPr>
          <w:bCs/>
        </w:rPr>
        <w:t>Q3. Describe the desired results of this project, at a client and/or community level, and how effectiveness in achieving these results will be measured and evaluated.</w:t>
      </w:r>
    </w:p>
    <w:p w14:paraId="2140447A" w14:textId="77777777" w:rsidR="000B1A98" w:rsidRPr="006F6651" w:rsidRDefault="000B1A98" w:rsidP="000B1A98">
      <w:pPr>
        <w:rPr>
          <w:bCs/>
        </w:rPr>
      </w:pPr>
    </w:p>
    <w:p w14:paraId="398FCB4C" w14:textId="77777777" w:rsidR="000B1A98" w:rsidRPr="006F6651" w:rsidRDefault="000B1A98" w:rsidP="00C3152C">
      <w:pPr>
        <w:numPr>
          <w:ilvl w:val="0"/>
          <w:numId w:val="31"/>
        </w:numPr>
        <w:rPr>
          <w:bCs/>
        </w:rPr>
      </w:pPr>
      <w:r w:rsidRPr="006F6651">
        <w:rPr>
          <w:bCs/>
        </w:rPr>
        <w:t>Q4. Describe key staff involved in this project, their roles, and their qualifications.</w:t>
      </w:r>
    </w:p>
    <w:p w14:paraId="5C76E751" w14:textId="77777777" w:rsidR="000B1A98" w:rsidRPr="006F6651" w:rsidRDefault="000B1A98" w:rsidP="000B1A98">
      <w:pPr>
        <w:rPr>
          <w:bCs/>
        </w:rPr>
      </w:pPr>
    </w:p>
    <w:p w14:paraId="5894FDEB" w14:textId="77CC8232" w:rsidR="000B1A98" w:rsidRPr="0047141B" w:rsidRDefault="000B1A98" w:rsidP="0047141B">
      <w:pPr>
        <w:rPr>
          <w:bCs/>
        </w:rPr>
      </w:pPr>
      <w:r w:rsidRPr="006F6651">
        <w:rPr>
          <w:bCs/>
        </w:rPr>
        <w:lastRenderedPageBreak/>
        <w:t>Fo</w:t>
      </w:r>
      <w:r w:rsidR="00405A17">
        <w:rPr>
          <w:bCs/>
        </w:rPr>
        <w:t xml:space="preserve">r </w:t>
      </w:r>
      <w:r w:rsidR="005B58A9">
        <w:rPr>
          <w:bCs/>
        </w:rPr>
        <w:t xml:space="preserve">Capital, </w:t>
      </w:r>
      <w:r w:rsidRPr="006F6651">
        <w:t>Housing Development</w:t>
      </w:r>
      <w:r w:rsidR="00405A17">
        <w:t xml:space="preserve"> Grants</w:t>
      </w:r>
      <w:r w:rsidRPr="006F6651">
        <w:t xml:space="preserve"> and Public Space Improvement projects, only the staff </w:t>
      </w:r>
      <w:r>
        <w:t>narrative response</w:t>
      </w:r>
      <w:r w:rsidRPr="006F6651">
        <w:t xml:space="preserve"> is </w:t>
      </w:r>
      <w:r>
        <w:t>required</w:t>
      </w:r>
      <w:r w:rsidRPr="006F6651">
        <w:t xml:space="preserve">.  </w:t>
      </w:r>
    </w:p>
    <w:p w14:paraId="66DE04FF" w14:textId="77777777" w:rsidR="003553DB" w:rsidRDefault="003553DB" w:rsidP="00583092">
      <w:pPr>
        <w:rPr>
          <w:b/>
          <w:bCs/>
        </w:rPr>
      </w:pPr>
    </w:p>
    <w:p w14:paraId="6E72A8AA" w14:textId="77777777" w:rsidR="003553DB" w:rsidRPr="0047141B" w:rsidRDefault="003553DB" w:rsidP="00C3152C">
      <w:pPr>
        <w:numPr>
          <w:ilvl w:val="0"/>
          <w:numId w:val="19"/>
        </w:numPr>
        <w:rPr>
          <w:b/>
          <w:bCs/>
        </w:rPr>
      </w:pPr>
      <w:r w:rsidRPr="0047141B">
        <w:rPr>
          <w:b/>
          <w:bCs/>
        </w:rPr>
        <w:t>Deviation from Work Plan and Program Progress</w:t>
      </w:r>
    </w:p>
    <w:p w14:paraId="3FBD6F87" w14:textId="77777777" w:rsidR="003553DB" w:rsidRDefault="003553DB" w:rsidP="00583092">
      <w:pPr>
        <w:rPr>
          <w:b/>
          <w:bCs/>
        </w:rPr>
      </w:pPr>
    </w:p>
    <w:p w14:paraId="616C6BED" w14:textId="159C21CB" w:rsidR="003553DB" w:rsidRDefault="00BD3D72" w:rsidP="00583092">
      <w:r>
        <w:t>MOHCD</w:t>
      </w:r>
      <w:r w:rsidR="003553DB">
        <w:t xml:space="preserve"> and the San Francisco Board of Supervisors approve grants for a specific program and purpose.  In most cases, that program and purpose cannot be renegotiated and the grant must be implemented or the funding returned.  On occasion, and as a result of following the negotiated work plan, it may become apparent that different/more effective/efficient activities can be engaged in to achieve the negotiated outcomes.  Work plans can only be renegotiated with the consent of </w:t>
      </w:r>
      <w:r>
        <w:t>MOHCD</w:t>
      </w:r>
      <w:r w:rsidR="003553DB">
        <w:t xml:space="preserve">.  Any deviation from the work plan can result in non-reimbursement for unapproved activities and/or cancellation of the Grant Agreement.  Contact </w:t>
      </w:r>
      <w:r w:rsidR="00F8068E">
        <w:t xml:space="preserve">your </w:t>
      </w:r>
      <w:r w:rsidR="003553DB">
        <w:t xml:space="preserve">assigned </w:t>
      </w:r>
      <w:r w:rsidR="005B58A9">
        <w:t>Program Officer</w:t>
      </w:r>
      <w:r w:rsidR="003553DB">
        <w:t xml:space="preserve"> </w:t>
      </w:r>
      <w:r w:rsidR="00F8068E">
        <w:t xml:space="preserve">with any </w:t>
      </w:r>
      <w:r w:rsidR="003553DB">
        <w:t>questions.</w:t>
      </w:r>
    </w:p>
    <w:p w14:paraId="177553CB" w14:textId="77777777" w:rsidR="003553DB" w:rsidRDefault="003553DB" w:rsidP="00583092"/>
    <w:p w14:paraId="0B1C4D6B" w14:textId="15E69D32" w:rsidR="003553DB" w:rsidRDefault="003553DB" w:rsidP="00583092">
      <w:r>
        <w:t xml:space="preserve">Program progress according to the work plan is reviewed by the </w:t>
      </w:r>
      <w:r w:rsidR="005B58A9">
        <w:t xml:space="preserve">Program Officer </w:t>
      </w:r>
      <w:r>
        <w:t xml:space="preserve">Grant Coordinator on a </w:t>
      </w:r>
      <w:r w:rsidR="005B58A9">
        <w:t>monthly basis</w:t>
      </w:r>
      <w:r>
        <w:t>.  Insufficient progress or delays in the program may jeopardize the grant and/or reimbursements. (See also Chapter II B (2): Reimbursement of Expenses and Chapter V: Monitoring).</w:t>
      </w:r>
    </w:p>
    <w:p w14:paraId="57D2BDF6" w14:textId="77777777" w:rsidR="003553DB" w:rsidRDefault="003553DB" w:rsidP="00583092"/>
    <w:p w14:paraId="4ACE7A22" w14:textId="77777777" w:rsidR="003553DB" w:rsidRDefault="003553DB" w:rsidP="00C3152C">
      <w:pPr>
        <w:numPr>
          <w:ilvl w:val="0"/>
          <w:numId w:val="19"/>
        </w:numPr>
        <w:rPr>
          <w:b/>
          <w:bCs/>
        </w:rPr>
      </w:pPr>
      <w:r>
        <w:rPr>
          <w:b/>
          <w:bCs/>
        </w:rPr>
        <w:t>Nondiscrimination in Provision of Services</w:t>
      </w:r>
    </w:p>
    <w:p w14:paraId="6E30362D" w14:textId="77777777" w:rsidR="003553DB" w:rsidRDefault="003553DB" w:rsidP="00583092">
      <w:pPr>
        <w:rPr>
          <w:b/>
          <w:bCs/>
        </w:rPr>
      </w:pPr>
    </w:p>
    <w:p w14:paraId="4A9B55A8" w14:textId="2685B021" w:rsidR="003553DB" w:rsidRDefault="003553DB" w:rsidP="00583092">
      <w:pPr>
        <w:spacing w:after="240"/>
      </w:pPr>
      <w:r>
        <w:t xml:space="preserve">All </w:t>
      </w:r>
      <w:r w:rsidR="00BD3D72">
        <w:t>MOHCD</w:t>
      </w:r>
      <w:r w:rsidR="00284DE5">
        <w:t>-</w:t>
      </w:r>
      <w:r>
        <w:t xml:space="preserve">funded agencies must ensure that all persons have equal opportunity and access to services, pursuant to federal requirements including Title VI, 24 C.F.R. 1.4(b)(2)(i).  </w:t>
      </w:r>
      <w:r w:rsidR="00BD3D72">
        <w:t>MOHCD</w:t>
      </w:r>
      <w:r w:rsidR="0079013F">
        <w:t>’s</w:t>
      </w:r>
      <w:r>
        <w:t xml:space="preserve"> Grant Agreement with each agency states in section 11.02, “</w:t>
      </w:r>
      <w:r>
        <w:rPr>
          <w:u w:val="single"/>
        </w:rPr>
        <w:t xml:space="preserve"> Covenant Not to Discriminate</w:t>
      </w:r>
      <w:r>
        <w:t xml:space="preserve">,” that   “In the performance of this Agreement, the Corporation covenants and agrees not to discriminate on the basis of the fact or perception of a person's race, color, creed, religion, national origin, ancestry, age, sex, sexual orientation, gender identity, domestic partner status, marital status, disability, weight, height or Acquired Immune Deficiency Syndrome or HIV status (AIDS/HIV status) against any employee or any City employee working with or applicant for employment with the Corporation, in any of the Corporation's operations within the United States, or against any person seeking accommodations, advantages, facilities, privileges, services, or membership in all business, social, or other establishments or organizations operated by the Corporation.”  </w:t>
      </w:r>
    </w:p>
    <w:p w14:paraId="4431EADE" w14:textId="77777777" w:rsidR="003553DB" w:rsidRDefault="003553DB" w:rsidP="00583092">
      <w:r>
        <w:t xml:space="preserve">If a subrecipient is serving one race or ethnic group exclusively or almost exclusively, </w:t>
      </w:r>
      <w:r w:rsidR="00BD3D72">
        <w:t>MOHCD</w:t>
      </w:r>
      <w:r>
        <w:t xml:space="preserve"> will require a justifiable rationale for such exclusivity.  An example of a justifiable rationale might be a program targeting monolingual immigrants, wherein the language in which the program is offered is closely linked to the racial/ethnic makeup of the clientele. In those cases in which </w:t>
      </w:r>
      <w:r w:rsidR="00BD3D72">
        <w:t>MOHCD</w:t>
      </w:r>
      <w:r>
        <w:t xml:space="preserve"> is unable to determine a justifiable rationale, funded agencies or subrecipients will be required to create an approved outreach plan to publicize their services to underrepresented populations.  Such an outreach plan might include the distribution of fliers to other organizations and communities that are specifically absent from the subrecipient’s current client population; subrecipient outreach at community events that target underrepresented populations; electronic distribution of materials to other </w:t>
      </w:r>
      <w:r w:rsidR="00BD3D72">
        <w:t>MOHCD</w:t>
      </w:r>
      <w:r>
        <w:t xml:space="preserve"> or OEWD-funded subrecipients that target diverse constituencies; and/or listing of programs being offered by the subrecipient in community newspapers, newsletters or other community listings.</w:t>
      </w:r>
    </w:p>
    <w:p w14:paraId="4A0C2283" w14:textId="77777777" w:rsidR="003553DB" w:rsidRDefault="003553DB" w:rsidP="00583092"/>
    <w:p w14:paraId="4E94C997" w14:textId="77777777" w:rsidR="005D3FDE" w:rsidRPr="00F862A2" w:rsidRDefault="00C511BA" w:rsidP="005D3FDE">
      <w:pPr>
        <w:pStyle w:val="Heading4"/>
        <w:spacing w:before="0" w:after="0"/>
        <w:rPr>
          <w:rFonts w:ascii="Times New Roman" w:hAnsi="Times New Roman"/>
          <w:bCs/>
          <w:u w:val="single"/>
        </w:rPr>
      </w:pPr>
      <w:r w:rsidRPr="00F862A2">
        <w:rPr>
          <w:rFonts w:ascii="Times New Roman" w:hAnsi="Times New Roman"/>
          <w:bCs/>
          <w:u w:val="single"/>
        </w:rPr>
        <w:lastRenderedPageBreak/>
        <w:t>B.  PROJECT BUDGET</w:t>
      </w:r>
    </w:p>
    <w:p w14:paraId="3D068311" w14:textId="77777777" w:rsidR="005D3FDE" w:rsidRPr="003B6389" w:rsidRDefault="005D3FDE" w:rsidP="005D3FDE">
      <w:pPr>
        <w:rPr>
          <w:highlight w:val="lightGray"/>
        </w:rPr>
      </w:pPr>
    </w:p>
    <w:p w14:paraId="3DDEFB84" w14:textId="426F65BD" w:rsidR="005D3FDE" w:rsidRPr="00405A17" w:rsidRDefault="00AD5C6E" w:rsidP="00C3152C">
      <w:pPr>
        <w:numPr>
          <w:ilvl w:val="0"/>
          <w:numId w:val="18"/>
        </w:numPr>
        <w:rPr>
          <w:b/>
          <w:bCs/>
          <w:u w:val="single"/>
        </w:rPr>
      </w:pPr>
      <w:r w:rsidRPr="00405A17">
        <w:rPr>
          <w:b/>
          <w:bCs/>
          <w:u w:val="single"/>
        </w:rPr>
        <w:t xml:space="preserve">DEFINITIONS AND ELIGIBLE/INELIGIBLE COSTS </w:t>
      </w:r>
    </w:p>
    <w:p w14:paraId="2E63D6B6" w14:textId="77777777" w:rsidR="005D3FDE" w:rsidRPr="003B6389" w:rsidRDefault="005D3FDE" w:rsidP="005D3FDE">
      <w:pPr>
        <w:rPr>
          <w:highlight w:val="lightGray"/>
        </w:rPr>
      </w:pPr>
    </w:p>
    <w:p w14:paraId="4730E333" w14:textId="77777777" w:rsidR="005D3FDE" w:rsidRPr="006F6651" w:rsidRDefault="005D3FDE" w:rsidP="009D579E">
      <w:r w:rsidRPr="006F6651">
        <w:t>The Pro</w:t>
      </w:r>
      <w:r w:rsidR="006522B8">
        <w:t>ject</w:t>
      </w:r>
      <w:r w:rsidRPr="006F6651">
        <w:t xml:space="preserve"> Budget is the projected expenditure schedule for the term of the Grant Agreement.  The annual </w:t>
      </w:r>
      <w:r w:rsidR="006522B8" w:rsidRPr="006F6651">
        <w:t>pro</w:t>
      </w:r>
      <w:r w:rsidR="006522B8">
        <w:t>ject</w:t>
      </w:r>
      <w:r w:rsidR="006522B8" w:rsidRPr="006F6651">
        <w:t xml:space="preserve"> </w:t>
      </w:r>
      <w:r w:rsidRPr="006F6651">
        <w:t xml:space="preserve">budget will be approved by MOHCD during the grant negotiation process.  Grant Agreements cannot be effectuated or implemented without an approved budget.  </w:t>
      </w:r>
    </w:p>
    <w:p w14:paraId="398908A0" w14:textId="77777777" w:rsidR="005D3FDE" w:rsidRPr="006F6651" w:rsidRDefault="005D3FDE" w:rsidP="005D3FDE">
      <w:pPr>
        <w:rPr>
          <w:b/>
          <w:bCs/>
        </w:rPr>
      </w:pPr>
    </w:p>
    <w:p w14:paraId="591CA795" w14:textId="77777777" w:rsidR="005D3FDE" w:rsidRPr="006F6651" w:rsidRDefault="005D3FDE" w:rsidP="005D3FDE">
      <w:pPr>
        <w:rPr>
          <w:b/>
          <w:bCs/>
          <w:u w:val="single"/>
        </w:rPr>
      </w:pPr>
      <w:r w:rsidRPr="006F6651">
        <w:rPr>
          <w:b/>
          <w:bCs/>
          <w:u w:val="single"/>
        </w:rPr>
        <w:t>Pro</w:t>
      </w:r>
      <w:r w:rsidR="006522B8">
        <w:rPr>
          <w:b/>
          <w:bCs/>
          <w:u w:val="single"/>
        </w:rPr>
        <w:t>ject</w:t>
      </w:r>
      <w:r w:rsidRPr="006F6651">
        <w:rPr>
          <w:b/>
          <w:bCs/>
          <w:u w:val="single"/>
        </w:rPr>
        <w:t xml:space="preserve"> and Organization Staffing </w:t>
      </w:r>
    </w:p>
    <w:p w14:paraId="3B55E794" w14:textId="77777777" w:rsidR="005D3FDE" w:rsidRPr="006F6651" w:rsidRDefault="005D3FDE" w:rsidP="005D3FDE">
      <w:r w:rsidRPr="006F6651">
        <w:t>Pro</w:t>
      </w:r>
      <w:r w:rsidR="006522B8">
        <w:t>ject</w:t>
      </w:r>
      <w:r w:rsidRPr="006F6651">
        <w:t xml:space="preserve"> staffing is negotiated at the beginning of the program year and is designed to ensure adequate and appropriate staffing for provision of services and/or successful completion of program activities and achievement of program outcomes. Grantees must notify their Grant Coordinator as soon as possible and no later than 15 days regarding any staffing changes if these changes impact the provision of services.  The grantee’s Board President or Secretary </w:t>
      </w:r>
      <w:r w:rsidRPr="006F6651">
        <w:rPr>
          <w:u w:val="single"/>
        </w:rPr>
        <w:t>must notify MOHCD in writing within 15 days</w:t>
      </w:r>
      <w:r w:rsidRPr="006F6651">
        <w:t xml:space="preserve"> should there be a change in the status of the organization’s Executive Director.</w:t>
      </w:r>
    </w:p>
    <w:p w14:paraId="69A1FA8B" w14:textId="77777777" w:rsidR="005D3FDE" w:rsidRPr="006F6651" w:rsidRDefault="005D3FDE" w:rsidP="005D3FDE"/>
    <w:p w14:paraId="0615A847" w14:textId="77777777" w:rsidR="009D579E" w:rsidRPr="006F6651" w:rsidRDefault="009D579E" w:rsidP="009D579E">
      <w:pPr>
        <w:rPr>
          <w:b/>
          <w:bCs/>
          <w:u w:val="single"/>
        </w:rPr>
      </w:pPr>
      <w:r w:rsidRPr="006F6651">
        <w:rPr>
          <w:b/>
          <w:bCs/>
          <w:u w:val="single"/>
        </w:rPr>
        <w:t>Subcontracts and Equipment Purchase</w:t>
      </w:r>
    </w:p>
    <w:p w14:paraId="07E54FFD" w14:textId="31D0F926" w:rsidR="009D579E" w:rsidRPr="006F6651" w:rsidRDefault="009D579E" w:rsidP="009D579E">
      <w:r w:rsidRPr="006F6651">
        <w:t>Pro</w:t>
      </w:r>
      <w:r>
        <w:t>ject</w:t>
      </w:r>
      <w:r w:rsidRPr="006F6651">
        <w:t xml:space="preserve"> budgets that include paying a vendor for contractual services or equipment purchase</w:t>
      </w:r>
      <w:r w:rsidR="00284DE5">
        <w:t>s</w:t>
      </w:r>
      <w:r w:rsidRPr="006F6651">
        <w:t xml:space="preserve"> should refer to </w:t>
      </w:r>
      <w:r w:rsidRPr="006F6651">
        <w:rPr>
          <w:b/>
          <w:bCs/>
        </w:rPr>
        <w:t>Chapter IV – Procurement and Contractual Services</w:t>
      </w:r>
      <w:r w:rsidRPr="006F6651">
        <w:t xml:space="preserve">.  </w:t>
      </w:r>
    </w:p>
    <w:p w14:paraId="033A4620" w14:textId="77777777" w:rsidR="009D579E" w:rsidRPr="006F6651" w:rsidRDefault="009D579E" w:rsidP="009D579E"/>
    <w:p w14:paraId="6DA0E95A" w14:textId="2D709E70" w:rsidR="009D579E" w:rsidRPr="006F6651" w:rsidRDefault="009D579E" w:rsidP="009D579E">
      <w:r w:rsidRPr="006F6651">
        <w:t xml:space="preserve">Prior written MOHCD approval is required for all </w:t>
      </w:r>
      <w:r w:rsidR="00635318" w:rsidRPr="006F6651">
        <w:t>general-purpose</w:t>
      </w:r>
      <w:r w:rsidRPr="006F6651">
        <w:t xml:space="preserve"> equipment purchases of</w:t>
      </w:r>
      <w:r w:rsidR="00A969FD">
        <w:t xml:space="preserve"> over</w:t>
      </w:r>
      <w:r w:rsidRPr="006F6651">
        <w:t xml:space="preserve"> $</w:t>
      </w:r>
      <w:r w:rsidR="0059260D">
        <w:t>5</w:t>
      </w:r>
      <w:r w:rsidRPr="006F6651">
        <w:t>,000 (e.g.</w:t>
      </w:r>
      <w:r w:rsidR="00284DE5">
        <w:t>,</w:t>
      </w:r>
      <w:r w:rsidRPr="006F6651">
        <w:t xml:space="preserve"> office equipment and furnishing, information technology equipment and systems, reproduction and printing equipment)</w:t>
      </w:r>
      <w:r w:rsidR="00284DE5">
        <w:t>.</w:t>
      </w:r>
      <w:r w:rsidRPr="006F6651">
        <w:t xml:space="preserve">  Prior written approval is also required for contractual services (</w:t>
      </w:r>
      <w:r w:rsidR="00284DE5">
        <w:t xml:space="preserve">e.g., </w:t>
      </w:r>
      <w:r w:rsidRPr="006F6651">
        <w:t>consultants, independents contractors, sub-contracts/3</w:t>
      </w:r>
      <w:r w:rsidRPr="006F6651">
        <w:rPr>
          <w:vertAlign w:val="superscript"/>
        </w:rPr>
        <w:t>rd</w:t>
      </w:r>
      <w:r w:rsidRPr="006F6651">
        <w:t xml:space="preserve"> party contracts) of </w:t>
      </w:r>
      <w:r w:rsidR="00A969FD">
        <w:t xml:space="preserve">over </w:t>
      </w:r>
      <w:r w:rsidRPr="006F6651">
        <w:t>$</w:t>
      </w:r>
      <w:r w:rsidR="00D9436E">
        <w:t>10</w:t>
      </w:r>
      <w:r w:rsidRPr="006F6651">
        <w:t xml:space="preserve">,000.  Expenditures made prior to obtaining MOHCD approval are ineligible for reimbursement.  Prior approval can only be obtained by completing and submitting </w:t>
      </w:r>
      <w:r w:rsidRPr="006F6651">
        <w:rPr>
          <w:bCs/>
          <w:u w:val="single"/>
        </w:rPr>
        <w:t>Form H:  Request for Approval of Subcontract and Equipment Purchase</w:t>
      </w:r>
      <w:r w:rsidRPr="006F6651">
        <w:t xml:space="preserve">. </w:t>
      </w:r>
    </w:p>
    <w:p w14:paraId="51251696" w14:textId="77777777" w:rsidR="009D579E" w:rsidRPr="006F6651" w:rsidRDefault="009D579E" w:rsidP="009D579E"/>
    <w:p w14:paraId="16E050D6" w14:textId="0A2EEC54" w:rsidR="009D579E" w:rsidRDefault="008C4BF3" w:rsidP="009D579E">
      <w:r>
        <w:t>E</w:t>
      </w:r>
      <w:r w:rsidR="009D579E" w:rsidRPr="006F6651">
        <w:t xml:space="preserve">quipment purchases </w:t>
      </w:r>
      <w:r w:rsidR="00A969FD">
        <w:t>of</w:t>
      </w:r>
      <w:r w:rsidR="009D579E" w:rsidRPr="006F6651">
        <w:t xml:space="preserve"> $</w:t>
      </w:r>
      <w:r w:rsidR="0059260D">
        <w:t>5</w:t>
      </w:r>
      <w:r w:rsidR="009D579E">
        <w:t>,</w:t>
      </w:r>
      <w:r w:rsidR="009D579E" w:rsidRPr="006F6651">
        <w:t>000</w:t>
      </w:r>
      <w:r w:rsidR="00A969FD">
        <w:t xml:space="preserve"> or less</w:t>
      </w:r>
      <w:r w:rsidR="009D579E" w:rsidRPr="006F6651">
        <w:t xml:space="preserve"> </w:t>
      </w:r>
      <w:r>
        <w:t xml:space="preserve">and contractual services </w:t>
      </w:r>
      <w:r w:rsidR="00A969FD">
        <w:t>of</w:t>
      </w:r>
      <w:r>
        <w:t xml:space="preserve"> $10,000 </w:t>
      </w:r>
      <w:r w:rsidR="00A969FD">
        <w:t xml:space="preserve">or less </w:t>
      </w:r>
      <w:r w:rsidR="009D579E" w:rsidRPr="006F6651">
        <w:t xml:space="preserve">do not require prior approval from MOHCD and do not require submission of a Form H.  </w:t>
      </w:r>
    </w:p>
    <w:p w14:paraId="0B08913B" w14:textId="62B8477E" w:rsidR="005B58A9" w:rsidRDefault="005B58A9" w:rsidP="009D579E"/>
    <w:p w14:paraId="4DB562E8" w14:textId="77777777" w:rsidR="00D03FCE" w:rsidRDefault="005B58A9" w:rsidP="009D579E">
      <w:bookmarkStart w:id="0" w:name="_Hlk43383981"/>
      <w:r w:rsidRPr="00340991">
        <w:rPr>
          <w:b/>
          <w:u w:val="single"/>
        </w:rPr>
        <w:t>Other:</w:t>
      </w:r>
      <w:r>
        <w:t xml:space="preserve"> </w:t>
      </w:r>
    </w:p>
    <w:p w14:paraId="7028E45A" w14:textId="77777777" w:rsidR="0006273D" w:rsidRDefault="005B58A9" w:rsidP="009D579E">
      <w:r>
        <w:t xml:space="preserve">Costs other than Salary, Fringe, Contractual Services, Equipment, and Indirect should be included in the Other category </w:t>
      </w:r>
      <w:r w:rsidR="00D03FCE">
        <w:t>in the</w:t>
      </w:r>
      <w:r>
        <w:t xml:space="preserve"> GMS</w:t>
      </w:r>
      <w:r w:rsidR="00D03FCE">
        <w:t xml:space="preserve"> budget</w:t>
      </w:r>
      <w:r w:rsidR="0048084D">
        <w:t>, along with a detailed explanation</w:t>
      </w:r>
      <w:r w:rsidR="00D03FCE">
        <w:t xml:space="preserve"> (including cost allocation methodology)</w:t>
      </w:r>
      <w:r w:rsidR="0048084D">
        <w:t>.</w:t>
      </w:r>
      <w:r w:rsidR="00D03FCE">
        <w:t xml:space="preserve">  </w:t>
      </w:r>
    </w:p>
    <w:p w14:paraId="3D43C922" w14:textId="77777777" w:rsidR="0006273D" w:rsidRDefault="0006273D" w:rsidP="009D579E"/>
    <w:p w14:paraId="2F6A5C47" w14:textId="44DE0F50" w:rsidR="00A77807" w:rsidRDefault="00A77807" w:rsidP="009D579E">
      <w:r w:rsidRPr="00A77807">
        <w:rPr>
          <w:b/>
          <w:u w:val="single"/>
        </w:rPr>
        <w:t>The costs that must be separated out as individual line items under Other are food, stipends, barrier removal costs, and direct financial assistance (rental, utilities, move-in, etc).</w:t>
      </w:r>
      <w:r>
        <w:t xml:space="preserve">  The remaining costs under Other may be included as one line item, as long as an itemized and detailed list of all the costs included (and the cost allocation methodology for any shared costs) is included in the expanded text box under the Other line item.</w:t>
      </w:r>
    </w:p>
    <w:p w14:paraId="2FE498F1" w14:textId="6FCC2FD6" w:rsidR="00A77807" w:rsidRDefault="00A77807" w:rsidP="009D579E"/>
    <w:p w14:paraId="0754203A" w14:textId="01A6824C" w:rsidR="00A77807" w:rsidRPr="00A77807" w:rsidRDefault="00A77807" w:rsidP="009D579E">
      <w:pPr>
        <w:rPr>
          <w:b/>
          <w:u w:val="single"/>
        </w:rPr>
      </w:pPr>
      <w:r>
        <w:t xml:space="preserve">When completing the Budget Allocation in GMS, grantees must also ensure </w:t>
      </w:r>
      <w:r w:rsidRPr="00A77807">
        <w:rPr>
          <w:b/>
          <w:u w:val="single"/>
        </w:rPr>
        <w:t xml:space="preserve">that no ineligible costs are allocated to CDBG funds.  This includes: food, stipends or subsistence-type grant </w:t>
      </w:r>
      <w:r w:rsidRPr="00A77807">
        <w:rPr>
          <w:b/>
          <w:u w:val="single"/>
        </w:rPr>
        <w:lastRenderedPageBreak/>
        <w:t>payments, and any non-emergency payments (defined as more than 3 consecutive months) to individuals for their food, clothing, rent, utilities or other income payments.</w:t>
      </w:r>
    </w:p>
    <w:bookmarkEnd w:id="0"/>
    <w:p w14:paraId="331161C5" w14:textId="77777777" w:rsidR="00A77807" w:rsidRDefault="00A77807" w:rsidP="009D579E"/>
    <w:p w14:paraId="529B9C6A" w14:textId="63F0FEC3" w:rsidR="005B58A9" w:rsidRPr="006F6651" w:rsidRDefault="00D03FCE" w:rsidP="009D579E">
      <w:r>
        <w:t>Below are guidelines for Travel, Space Rent/Occupancy, and Insurance costs that may be included under Other.</w:t>
      </w:r>
    </w:p>
    <w:p w14:paraId="3689DB23" w14:textId="77777777" w:rsidR="009D579E" w:rsidRPr="006F6651" w:rsidRDefault="009D579E" w:rsidP="009D579E">
      <w:pPr>
        <w:rPr>
          <w:b/>
          <w:bCs/>
          <w:u w:val="single"/>
        </w:rPr>
      </w:pPr>
    </w:p>
    <w:p w14:paraId="61A8ACCC" w14:textId="77777777" w:rsidR="009D579E" w:rsidRPr="006F6651" w:rsidRDefault="009D579E" w:rsidP="009D579E">
      <w:r w:rsidRPr="006F6651">
        <w:rPr>
          <w:b/>
          <w:bCs/>
          <w:u w:val="single"/>
        </w:rPr>
        <w:t>Travel Costs</w:t>
      </w:r>
    </w:p>
    <w:p w14:paraId="1EF9FB35" w14:textId="58B58EAF" w:rsidR="009D579E" w:rsidRPr="006F6651" w:rsidRDefault="009D579E" w:rsidP="009D579E">
      <w:pPr>
        <w:autoSpaceDE w:val="0"/>
        <w:autoSpaceDN w:val="0"/>
        <w:adjustRightInd w:val="0"/>
      </w:pPr>
      <w:r w:rsidRPr="006F6651">
        <w:t xml:space="preserve">For the City and County of San Francisco, </w:t>
      </w:r>
      <w:r w:rsidR="00284DE5">
        <w:t xml:space="preserve">the </w:t>
      </w:r>
      <w:r w:rsidRPr="006F6651">
        <w:t xml:space="preserve">local commuting area is defined as within the nine Bay Area counties of Alameda, Contra Costa, Marin, Napa, San Francisco, San Mateo, Santa Clara, Solano and Sonoma. </w:t>
      </w:r>
    </w:p>
    <w:p w14:paraId="7726E5B6" w14:textId="77777777" w:rsidR="009D579E" w:rsidRPr="006F6651" w:rsidRDefault="009D579E" w:rsidP="009D579E"/>
    <w:p w14:paraId="2A475F92" w14:textId="77777777" w:rsidR="009D579E" w:rsidRPr="006F6651" w:rsidRDefault="009D579E" w:rsidP="009D579E">
      <w:r w:rsidRPr="006F6651">
        <w:t xml:space="preserve">For travel outside of the Bay Area, grantees must submit a letter of request to their Grant Coordinator for approval before budget allocations to the travel line item are approved and prior to making travel arrangements.  This letter must identify the specific purpose and rationale for the travel, the staff members traveling, and a detailed travel budget.  </w:t>
      </w:r>
    </w:p>
    <w:p w14:paraId="0F2A1F9C" w14:textId="77777777" w:rsidR="009D579E" w:rsidRPr="006F6651" w:rsidRDefault="009D579E" w:rsidP="009D579E"/>
    <w:p w14:paraId="5E0B66A8" w14:textId="77777777" w:rsidR="009D579E" w:rsidRPr="006F6651" w:rsidRDefault="009D579E" w:rsidP="009D579E">
      <w:pPr>
        <w:rPr>
          <w:b/>
          <w:u w:val="single"/>
        </w:rPr>
      </w:pPr>
      <w:r w:rsidRPr="006F6651">
        <w:rPr>
          <w:b/>
          <w:u w:val="single"/>
        </w:rPr>
        <w:t>Space Rental/Occupancy Costs</w:t>
      </w:r>
    </w:p>
    <w:p w14:paraId="766E23B4" w14:textId="7A758EA5" w:rsidR="009D579E" w:rsidRPr="006F6651" w:rsidRDefault="009D579E" w:rsidP="009D579E">
      <w:r w:rsidRPr="006F6651">
        <w:t xml:space="preserve">If the organization will be using </w:t>
      </w:r>
      <w:r w:rsidR="008C4BF3">
        <w:t xml:space="preserve">MOHCD </w:t>
      </w:r>
      <w:r w:rsidRPr="006F6651">
        <w:t xml:space="preserve">grant funds to pay for space rental, they must submit a copy of the lease agreement to their assigned Grant Coordinator and verification of property insurance as described below. If the organization wishes to use grant funds to pay for mortgage payments, they should contact their </w:t>
      </w:r>
      <w:r w:rsidR="00D03FCE">
        <w:t>Program Officer</w:t>
      </w:r>
      <w:r w:rsidR="008C4BF3">
        <w:t xml:space="preserve"> to discuss</w:t>
      </w:r>
      <w:r w:rsidRPr="006F6651">
        <w:t>.</w:t>
      </w:r>
    </w:p>
    <w:p w14:paraId="7A5CA713" w14:textId="77777777" w:rsidR="009D579E" w:rsidRPr="006F6651" w:rsidRDefault="009D579E" w:rsidP="009D579E"/>
    <w:p w14:paraId="4F827950" w14:textId="77777777" w:rsidR="009D579E" w:rsidRPr="006F6651" w:rsidRDefault="009D579E" w:rsidP="009D579E">
      <w:pPr>
        <w:rPr>
          <w:b/>
          <w:bCs/>
          <w:u w:val="single"/>
        </w:rPr>
      </w:pPr>
      <w:r w:rsidRPr="006F6651">
        <w:rPr>
          <w:b/>
          <w:bCs/>
          <w:u w:val="single"/>
        </w:rPr>
        <w:t xml:space="preserve">Insurance </w:t>
      </w:r>
    </w:p>
    <w:p w14:paraId="5B74E42D" w14:textId="77777777" w:rsidR="009D579E" w:rsidRPr="006F6651" w:rsidRDefault="009D579E" w:rsidP="009D579E">
      <w:r w:rsidRPr="006F6651">
        <w:t xml:space="preserve">Current insurance coverage is required prior to reimbursement for any expenditure.  It is the responsibility of the grantee to supply MOHCD with current certificates of insurance.  </w:t>
      </w:r>
    </w:p>
    <w:p w14:paraId="2E6284B1" w14:textId="77777777" w:rsidR="009D579E" w:rsidRPr="006F6651" w:rsidRDefault="009D579E" w:rsidP="009D579E"/>
    <w:p w14:paraId="148934D3" w14:textId="77777777" w:rsidR="009D579E" w:rsidRPr="006F6651" w:rsidRDefault="009D579E" w:rsidP="009D579E">
      <w:r w:rsidRPr="006F6651">
        <w:t>The minimum requirement for insurance coverage during the contract term includes:</w:t>
      </w:r>
    </w:p>
    <w:p w14:paraId="6EBC30CE" w14:textId="77777777" w:rsidR="009D579E" w:rsidRPr="006F6651" w:rsidRDefault="009D579E" w:rsidP="009D579E"/>
    <w:p w14:paraId="44A94AD8" w14:textId="74E22D66" w:rsidR="009D579E" w:rsidRPr="006F6651" w:rsidRDefault="009D579E" w:rsidP="00C3152C">
      <w:pPr>
        <w:numPr>
          <w:ilvl w:val="0"/>
          <w:numId w:val="15"/>
        </w:numPr>
      </w:pPr>
      <w:r w:rsidRPr="006F6651">
        <w:rPr>
          <w:u w:val="single"/>
        </w:rPr>
        <w:t>Workers’ Compensation</w:t>
      </w:r>
      <w:r w:rsidRPr="006F6651">
        <w:t xml:space="preserve"> insurance of statutory limits, including Employers’ Liability coverage with limits not less than $1,000,000 each accident</w:t>
      </w:r>
      <w:r w:rsidR="00A60FF4">
        <w:t xml:space="preserve">.  </w:t>
      </w:r>
      <w:r>
        <w:t>If Grantee is expected to perform services on City premises t</w:t>
      </w:r>
      <w:r w:rsidRPr="00663623">
        <w:t>he Workers’ Compensation policy(ies) shall be endorsed with a waiver of subrogation in favor of the City for all work pe</w:t>
      </w:r>
      <w:r>
        <w:t>rformed by the Grantee</w:t>
      </w:r>
      <w:r w:rsidRPr="00663623">
        <w:t>, its employees, agents and subcontractors.</w:t>
      </w:r>
    </w:p>
    <w:p w14:paraId="2DA90BA0" w14:textId="23F4966C" w:rsidR="009D579E" w:rsidRPr="006F6651" w:rsidRDefault="009D579E" w:rsidP="00C3152C">
      <w:pPr>
        <w:numPr>
          <w:ilvl w:val="0"/>
          <w:numId w:val="15"/>
        </w:numPr>
      </w:pPr>
      <w:r w:rsidRPr="006F6651">
        <w:rPr>
          <w:u w:val="single"/>
        </w:rPr>
        <w:t>Comprehensive General Liability</w:t>
      </w:r>
      <w:r w:rsidRPr="006F6651">
        <w:t xml:space="preserve"> insurance with limits not less than $1,000,000 each occurrence </w:t>
      </w:r>
      <w:r w:rsidRPr="001A213A">
        <w:t>and $2,000,000 general aggregate</w:t>
      </w:r>
      <w:r w:rsidRPr="00CB6C60">
        <w:rPr>
          <w:sz w:val="20"/>
        </w:rPr>
        <w:t xml:space="preserve"> </w:t>
      </w:r>
      <w:r w:rsidRPr="006F6651">
        <w:t>for Bodily Injury and Property Damage, including coverage for Contractual Liability, Independent Contractors, Broad form Property Damage, Products and Completed Operations.  The City and County of San Francisco must be named as an additional insured in these policies, and this must be indicated on the certificate</w:t>
      </w:r>
      <w:r w:rsidR="00A60FF4">
        <w:t>.</w:t>
      </w:r>
    </w:p>
    <w:p w14:paraId="492FB3B8" w14:textId="793B6427" w:rsidR="009D579E" w:rsidRPr="006F6651" w:rsidRDefault="009D579E" w:rsidP="00C3152C">
      <w:pPr>
        <w:numPr>
          <w:ilvl w:val="0"/>
          <w:numId w:val="15"/>
        </w:numPr>
      </w:pPr>
      <w:r w:rsidRPr="006F6651">
        <w:rPr>
          <w:u w:val="single"/>
        </w:rPr>
        <w:t>Comprehensive Automobile Liability</w:t>
      </w:r>
      <w:r w:rsidRPr="006F6651">
        <w:t xml:space="preserve"> insurance with limits not less than $1,000,000 each occurrence </w:t>
      </w:r>
      <w:r>
        <w:t>“C</w:t>
      </w:r>
      <w:r w:rsidRPr="006F6651">
        <w:t xml:space="preserve">ombined </w:t>
      </w:r>
      <w:r>
        <w:t>S</w:t>
      </w:r>
      <w:r w:rsidRPr="006F6651">
        <w:t xml:space="preserve">ingle </w:t>
      </w:r>
      <w:r>
        <w:t>L</w:t>
      </w:r>
      <w:r w:rsidRPr="006F6651">
        <w:t>imit</w:t>
      </w:r>
      <w:r>
        <w:t>”</w:t>
      </w:r>
      <w:r w:rsidRPr="006F6651">
        <w:t xml:space="preserve"> for Bodily Injury and Property Damage, including coverage for owned, non-owned and hired vehicles.  The City and County of San Francisco must be named as an additional insured in these policies, and this must be indicated on the certificate</w:t>
      </w:r>
      <w:r w:rsidR="00A60FF4">
        <w:t>.</w:t>
      </w:r>
      <w:r w:rsidRPr="006F6651">
        <w:t xml:space="preserve"> </w:t>
      </w:r>
    </w:p>
    <w:p w14:paraId="460E7555" w14:textId="624AE0BE" w:rsidR="009D579E" w:rsidRPr="006F6651" w:rsidRDefault="009D579E" w:rsidP="00C3152C">
      <w:pPr>
        <w:numPr>
          <w:ilvl w:val="0"/>
          <w:numId w:val="15"/>
        </w:numPr>
      </w:pPr>
      <w:r w:rsidRPr="006F6651">
        <w:rPr>
          <w:u w:val="single"/>
        </w:rPr>
        <w:t>Property</w:t>
      </w:r>
      <w:r w:rsidRPr="006F6651">
        <w:t xml:space="preserve"> insurance covering all real property leased or owned that has been purchased, constructed, improved or rehabilitated in whole or in part with CDBG or ESG funds, in a </w:t>
      </w:r>
      <w:r w:rsidRPr="006F6651">
        <w:lastRenderedPageBreak/>
        <w:t>form appropriate for the nature of such property, covering all risks of loss, excluding earthquake and flood, for 100% of the reconstruction value (brought up to current codes), with deductible, if any, acceptable to the City, and naming the City as loss payee, as its interest may appear, except that if the Corporation leases real property such coverage with respect to the leased property may be provided by the owner or landlord</w:t>
      </w:r>
      <w:r w:rsidR="00A60FF4">
        <w:t>.</w:t>
      </w:r>
    </w:p>
    <w:p w14:paraId="33B80F67" w14:textId="269EBD6E" w:rsidR="009D579E" w:rsidRPr="006F6651" w:rsidRDefault="009D579E" w:rsidP="00C3152C">
      <w:pPr>
        <w:numPr>
          <w:ilvl w:val="0"/>
          <w:numId w:val="15"/>
        </w:numPr>
      </w:pPr>
      <w:r w:rsidRPr="006F6651">
        <w:rPr>
          <w:u w:val="single"/>
        </w:rPr>
        <w:t>Professional Liability</w:t>
      </w:r>
      <w:r w:rsidRPr="006F6651">
        <w:t xml:space="preserve"> (errors and omissions) ins</w:t>
      </w:r>
      <w:r w:rsidR="008C4BF3">
        <w:t>urance with limits not less than</w:t>
      </w:r>
      <w:r w:rsidRPr="006F6651">
        <w:t xml:space="preserve"> $</w:t>
      </w:r>
      <w:r>
        <w:t>1,00</w:t>
      </w:r>
      <w:r w:rsidRPr="006F6651">
        <w:t>0,000 each occurrence, covering architectural, engineering, design, technical or professional services, as appropriate, with respect to any subcontract for or any donation of professional services, for the term of the applicable construction contract.</w:t>
      </w:r>
    </w:p>
    <w:p w14:paraId="3733ADDF" w14:textId="77777777" w:rsidR="00E74D67" w:rsidRDefault="00E74D67" w:rsidP="00E74D67">
      <w:pPr>
        <w:rPr>
          <w:b/>
          <w:iCs/>
        </w:rPr>
      </w:pPr>
    </w:p>
    <w:p w14:paraId="54A21A7A" w14:textId="235A2D93" w:rsidR="00E74D67" w:rsidRPr="0079244A" w:rsidRDefault="00405A17" w:rsidP="00E74D67">
      <w:pPr>
        <w:rPr>
          <w:b/>
          <w:iCs/>
          <w:u w:val="single"/>
        </w:rPr>
      </w:pPr>
      <w:r>
        <w:rPr>
          <w:b/>
          <w:iCs/>
          <w:u w:val="single"/>
        </w:rPr>
        <w:t xml:space="preserve">Direct and Indirect Costs </w:t>
      </w:r>
    </w:p>
    <w:p w14:paraId="69DEABAF" w14:textId="77777777" w:rsidR="00E74D67" w:rsidRDefault="00E74D67" w:rsidP="00E74D67">
      <w:pPr>
        <w:rPr>
          <w:b/>
          <w:bCs/>
        </w:rPr>
      </w:pPr>
    </w:p>
    <w:p w14:paraId="1E6D51F6" w14:textId="77777777" w:rsidR="00E74D67" w:rsidRDefault="00E74D67" w:rsidP="00E74D67">
      <w:pPr>
        <w:rPr>
          <w:bCs/>
        </w:rPr>
      </w:pPr>
      <w:r>
        <w:rPr>
          <w:bCs/>
        </w:rPr>
        <w:t xml:space="preserve">In order to clearly comply with 2 CFR 200, the Office of Management and Budget’s Uniform Guidance for federal funds, we are no longer adhering to an administrative cap, but instead are separating all costs into either </w:t>
      </w:r>
      <w:r w:rsidRPr="004C43EC">
        <w:rPr>
          <w:bCs/>
          <w:i/>
        </w:rPr>
        <w:t>Direct Costs</w:t>
      </w:r>
      <w:r>
        <w:rPr>
          <w:bCs/>
        </w:rPr>
        <w:t xml:space="preserve"> or </w:t>
      </w:r>
      <w:r w:rsidRPr="004C43EC">
        <w:rPr>
          <w:bCs/>
          <w:i/>
        </w:rPr>
        <w:t>Indirect Costs</w:t>
      </w:r>
      <w:r>
        <w:rPr>
          <w:bCs/>
        </w:rPr>
        <w:t xml:space="preserve">.  </w:t>
      </w:r>
    </w:p>
    <w:p w14:paraId="62EE07BB" w14:textId="77777777" w:rsidR="00E74D67" w:rsidRDefault="00E74D67" w:rsidP="00E74D67">
      <w:pPr>
        <w:rPr>
          <w:bCs/>
        </w:rPr>
      </w:pPr>
    </w:p>
    <w:p w14:paraId="60AB8811" w14:textId="77777777" w:rsidR="00E74D67" w:rsidRPr="004C43EC" w:rsidRDefault="00E74D67" w:rsidP="00E74D67">
      <w:pPr>
        <w:rPr>
          <w:bCs/>
          <w:u w:val="single"/>
        </w:rPr>
      </w:pPr>
      <w:r w:rsidRPr="004C43EC">
        <w:rPr>
          <w:bCs/>
          <w:u w:val="single"/>
        </w:rPr>
        <w:t xml:space="preserve">Direct Costs </w:t>
      </w:r>
    </w:p>
    <w:p w14:paraId="2F8FED09" w14:textId="77777777" w:rsidR="00E74D67" w:rsidRDefault="00E74D67" w:rsidP="00E74D67">
      <w:pPr>
        <w:rPr>
          <w:bCs/>
        </w:rPr>
      </w:pPr>
    </w:p>
    <w:p w14:paraId="3F854B96" w14:textId="77777777" w:rsidR="00E74D67" w:rsidRDefault="00E74D67" w:rsidP="00E74D67">
      <w:pPr>
        <w:rPr>
          <w:szCs w:val="20"/>
        </w:rPr>
      </w:pPr>
      <w:r w:rsidRPr="00826010">
        <w:rPr>
          <w:bCs/>
        </w:rPr>
        <w:t xml:space="preserve">Direct costs are those costs that can be identified specifically with a particular program or that can be directly </w:t>
      </w:r>
      <w:r>
        <w:rPr>
          <w:bCs/>
        </w:rPr>
        <w:t xml:space="preserve">allocated to the </w:t>
      </w:r>
      <w:r w:rsidRPr="00826010">
        <w:rPr>
          <w:bCs/>
        </w:rPr>
        <w:t xml:space="preserve">program relatively easily with a high degree of accuracy. </w:t>
      </w:r>
      <w:r>
        <w:rPr>
          <w:bCs/>
        </w:rPr>
        <w:t>In addition to traditional program costs, some expenses that your organization considers administrative may in fact be direct costs.  For example, s</w:t>
      </w:r>
      <w:r>
        <w:rPr>
          <w:szCs w:val="20"/>
        </w:rPr>
        <w:t xml:space="preserve">alaries of administrative and clerical staff can be budgeted as direct costs as long as the administrative or clerical services are integral to a program and the individuals involved can be specifically identified with the program. Non-personnel administrative costs can also be charged as direct costs provided that the method of allocating to programs is accurate and reasonable.  </w:t>
      </w:r>
    </w:p>
    <w:p w14:paraId="77B180BF" w14:textId="77777777" w:rsidR="00E74D67" w:rsidRPr="00826010" w:rsidRDefault="00E74D67" w:rsidP="00E74D67">
      <w:pPr>
        <w:rPr>
          <w:bCs/>
        </w:rPr>
      </w:pPr>
    </w:p>
    <w:p w14:paraId="6FA5159F" w14:textId="60F801D4" w:rsidR="00E74D67" w:rsidRDefault="00E74D67" w:rsidP="00E74D67">
      <w:pPr>
        <w:rPr>
          <w:bCs/>
        </w:rPr>
      </w:pPr>
      <w:r w:rsidRPr="00826010">
        <w:rPr>
          <w:bCs/>
        </w:rPr>
        <w:t>For the purposes of developing a budget, all budget line items except for indirect cost</w:t>
      </w:r>
      <w:r w:rsidR="008414C4">
        <w:rPr>
          <w:bCs/>
        </w:rPr>
        <w:t>s</w:t>
      </w:r>
      <w:r w:rsidRPr="00826010">
        <w:rPr>
          <w:bCs/>
        </w:rPr>
        <w:t xml:space="preserve"> </w:t>
      </w:r>
      <w:r>
        <w:rPr>
          <w:bCs/>
        </w:rPr>
        <w:t>are</w:t>
      </w:r>
      <w:r w:rsidRPr="00826010">
        <w:rPr>
          <w:bCs/>
        </w:rPr>
        <w:t xml:space="preserve"> considered direct costs. As such</w:t>
      </w:r>
      <w:r>
        <w:rPr>
          <w:bCs/>
        </w:rPr>
        <w:t>,</w:t>
      </w:r>
      <w:r w:rsidRPr="00826010">
        <w:rPr>
          <w:bCs/>
        </w:rPr>
        <w:t xml:space="preserve"> each line item must be specifically identified (with high degree of accuracy) with a particular activity that supports the funded program.</w:t>
      </w:r>
    </w:p>
    <w:p w14:paraId="2B3B66E1" w14:textId="77777777" w:rsidR="00E74D67" w:rsidRDefault="00E74D67" w:rsidP="00E74D67">
      <w:pPr>
        <w:rPr>
          <w:bCs/>
        </w:rPr>
      </w:pPr>
    </w:p>
    <w:p w14:paraId="20E691CB" w14:textId="77777777" w:rsidR="00E74D67" w:rsidRPr="004C43EC" w:rsidRDefault="00E74D67" w:rsidP="00E74D67">
      <w:pPr>
        <w:rPr>
          <w:bCs/>
          <w:u w:val="single"/>
        </w:rPr>
      </w:pPr>
      <w:r w:rsidRPr="004C43EC">
        <w:rPr>
          <w:bCs/>
          <w:u w:val="single"/>
        </w:rPr>
        <w:t>Indirect Costs</w:t>
      </w:r>
    </w:p>
    <w:p w14:paraId="4873DA3C" w14:textId="77777777" w:rsidR="00E74D67" w:rsidRPr="004C43EC" w:rsidRDefault="00E74D67" w:rsidP="00E74D67">
      <w:pPr>
        <w:rPr>
          <w:bCs/>
        </w:rPr>
      </w:pPr>
    </w:p>
    <w:p w14:paraId="1F880032" w14:textId="77777777" w:rsidR="00E74D67" w:rsidRDefault="00E74D67" w:rsidP="00E74D67">
      <w:pPr>
        <w:rPr>
          <w:bCs/>
        </w:rPr>
      </w:pPr>
      <w:r w:rsidRPr="004C43EC">
        <w:rPr>
          <w:bCs/>
        </w:rPr>
        <w:t xml:space="preserve">Indirect </w:t>
      </w:r>
      <w:r>
        <w:rPr>
          <w:bCs/>
        </w:rPr>
        <w:t>c</w:t>
      </w:r>
      <w:r w:rsidRPr="004C43EC">
        <w:rPr>
          <w:bCs/>
        </w:rPr>
        <w:t xml:space="preserve">osts are those costs that cannot be readily identified with a particular program.  They are expenses of a general nature which do not relate solely to any particular program. </w:t>
      </w:r>
    </w:p>
    <w:p w14:paraId="3F7C542F" w14:textId="77777777" w:rsidR="00E74D67" w:rsidRDefault="00E74D67" w:rsidP="00E74D67">
      <w:pPr>
        <w:rPr>
          <w:bCs/>
        </w:rPr>
      </w:pPr>
    </w:p>
    <w:p w14:paraId="1FB656A2" w14:textId="48768338" w:rsidR="00E74D67" w:rsidRDefault="00E74D67" w:rsidP="00E74D67">
      <w:pPr>
        <w:rPr>
          <w:bCs/>
        </w:rPr>
      </w:pPr>
      <w:r w:rsidRPr="00A360B6">
        <w:rPr>
          <w:bCs/>
        </w:rPr>
        <w:t xml:space="preserve">Examples of indirect costs include </w:t>
      </w:r>
      <w:r w:rsidR="00A033D0">
        <w:rPr>
          <w:bCs/>
        </w:rPr>
        <w:t xml:space="preserve">Executive Director and fiscal team salaries/wages for time not directly related to any program, </w:t>
      </w:r>
      <w:r w:rsidRPr="00A360B6">
        <w:rPr>
          <w:bCs/>
        </w:rPr>
        <w:t xml:space="preserve">accounting and legal services, </w:t>
      </w:r>
      <w:r w:rsidR="00A033D0">
        <w:rPr>
          <w:bCs/>
        </w:rPr>
        <w:t xml:space="preserve">the cost of your annual audit, </w:t>
      </w:r>
      <w:r w:rsidRPr="00A360B6">
        <w:rPr>
          <w:bCs/>
        </w:rPr>
        <w:t xml:space="preserve">and general training as these expenses are typically harder to allocate to </w:t>
      </w:r>
      <w:r w:rsidR="00003D01">
        <w:rPr>
          <w:bCs/>
        </w:rPr>
        <w:t xml:space="preserve">a </w:t>
      </w:r>
      <w:r w:rsidRPr="00A360B6">
        <w:rPr>
          <w:bCs/>
        </w:rPr>
        <w:t>specific program with a high degree of accuracy.</w:t>
      </w:r>
      <w:r>
        <w:rPr>
          <w:bCs/>
        </w:rPr>
        <w:t xml:space="preserve"> </w:t>
      </w:r>
    </w:p>
    <w:p w14:paraId="68F5AA01" w14:textId="77777777" w:rsidR="00241D40" w:rsidRDefault="00241D40" w:rsidP="00E74D67">
      <w:pPr>
        <w:rPr>
          <w:bCs/>
        </w:rPr>
      </w:pPr>
    </w:p>
    <w:p w14:paraId="3387D888" w14:textId="0B12DC4B" w:rsidR="00241D40" w:rsidRDefault="00241D40" w:rsidP="00E74D67">
      <w:pPr>
        <w:rPr>
          <w:bCs/>
        </w:rPr>
      </w:pPr>
      <w:r w:rsidRPr="00241D40">
        <w:rPr>
          <w:bCs/>
        </w:rPr>
        <w:t>The maximum indirect rate for General Fund and Housing Trust Fund grants i</w:t>
      </w:r>
      <w:r>
        <w:rPr>
          <w:bCs/>
        </w:rPr>
        <w:t>s 15% of the total grant award.</w:t>
      </w:r>
    </w:p>
    <w:p w14:paraId="31264A3D" w14:textId="77777777" w:rsidR="00E74D67" w:rsidRDefault="00E74D67" w:rsidP="00E74D67">
      <w:pPr>
        <w:rPr>
          <w:bCs/>
        </w:rPr>
      </w:pPr>
    </w:p>
    <w:p w14:paraId="24FAC148" w14:textId="77777777" w:rsidR="00E74D67" w:rsidRPr="004C43EC" w:rsidRDefault="00E74D67" w:rsidP="00E74D67">
      <w:pPr>
        <w:rPr>
          <w:bCs/>
          <w:sz w:val="22"/>
          <w:szCs w:val="22"/>
        </w:rPr>
      </w:pPr>
      <w:r w:rsidRPr="004C43EC">
        <w:rPr>
          <w:bCs/>
        </w:rPr>
        <w:t xml:space="preserve">Grantees with a </w:t>
      </w:r>
      <w:r>
        <w:rPr>
          <w:bCs/>
        </w:rPr>
        <w:t>f</w:t>
      </w:r>
      <w:r w:rsidRPr="004C43EC">
        <w:rPr>
          <w:bCs/>
        </w:rPr>
        <w:t>ederally</w:t>
      </w:r>
      <w:r>
        <w:rPr>
          <w:bCs/>
        </w:rPr>
        <w:t>-</w:t>
      </w:r>
      <w:r w:rsidRPr="004C43EC">
        <w:rPr>
          <w:bCs/>
        </w:rPr>
        <w:t xml:space="preserve">approved indirect cost rate should submit documentation of </w:t>
      </w:r>
      <w:r>
        <w:rPr>
          <w:bCs/>
        </w:rPr>
        <w:t>the</w:t>
      </w:r>
      <w:r w:rsidRPr="004C43EC">
        <w:rPr>
          <w:bCs/>
        </w:rPr>
        <w:t xml:space="preserve"> approved rate </w:t>
      </w:r>
      <w:r>
        <w:rPr>
          <w:bCs/>
        </w:rPr>
        <w:t>to MOHCD</w:t>
      </w:r>
      <w:r w:rsidRPr="004C43EC">
        <w:rPr>
          <w:bCs/>
        </w:rPr>
        <w:t>.</w:t>
      </w:r>
    </w:p>
    <w:p w14:paraId="42D5A6B2" w14:textId="77777777" w:rsidR="00E74D67" w:rsidRPr="004C43EC" w:rsidRDefault="00E74D67" w:rsidP="00E74D67">
      <w:pPr>
        <w:rPr>
          <w:szCs w:val="20"/>
        </w:rPr>
      </w:pPr>
    </w:p>
    <w:p w14:paraId="1968D5B4" w14:textId="17E8D9D7" w:rsidR="005D3FDE" w:rsidRPr="006F6651" w:rsidRDefault="00E74D67" w:rsidP="005D3FDE">
      <w:r>
        <w:rPr>
          <w:szCs w:val="20"/>
        </w:rPr>
        <w:t xml:space="preserve">For </w:t>
      </w:r>
      <w:r w:rsidR="00884D68">
        <w:rPr>
          <w:szCs w:val="20"/>
        </w:rPr>
        <w:t xml:space="preserve">federally-funded </w:t>
      </w:r>
      <w:r>
        <w:rPr>
          <w:szCs w:val="20"/>
        </w:rPr>
        <w:t>grantees without a federally-approved indirect cost rate, the maximum allowed indirect cost rate is 10% of Modified Total Direct Costs (MTDC). MTDC excludes equipment, capital expenditures, rental costs, charges for patient care, tuition reimbursement, scholarships and fellowships, and participant support costs.  To calculate the MTDC, the excluded costs will be subtracted from the direct costs, and then 10% of that modified amount will be allowed for indirect costs.  MOHCD will provide a tool for calculating your allowable indirect cost based on MTDC.</w:t>
      </w:r>
    </w:p>
    <w:p w14:paraId="65DB2877" w14:textId="77777777" w:rsidR="005D3FDE" w:rsidRPr="006F6651" w:rsidRDefault="005D3FDE" w:rsidP="005D3FDE"/>
    <w:p w14:paraId="23AC4169" w14:textId="77777777" w:rsidR="005D3FDE" w:rsidRPr="006F6651" w:rsidRDefault="005D3FDE" w:rsidP="005D3FDE">
      <w:pPr>
        <w:pStyle w:val="Heading4"/>
        <w:spacing w:before="0" w:after="0"/>
        <w:rPr>
          <w:rFonts w:ascii="Times New Roman" w:hAnsi="Times New Roman"/>
          <w:u w:val="single"/>
        </w:rPr>
      </w:pPr>
      <w:r w:rsidRPr="006F6651">
        <w:rPr>
          <w:rFonts w:ascii="Times New Roman" w:hAnsi="Times New Roman"/>
          <w:u w:val="single"/>
        </w:rPr>
        <w:t>Ineligible Costs for Federal Funds</w:t>
      </w:r>
    </w:p>
    <w:p w14:paraId="22562D5E" w14:textId="77777777" w:rsidR="005D3FDE" w:rsidRPr="006F6651" w:rsidRDefault="005D3FDE" w:rsidP="005D3FDE">
      <w:r w:rsidRPr="006F6651">
        <w:t>Ineligible costs include, but are not limited to the following:</w:t>
      </w:r>
    </w:p>
    <w:p w14:paraId="5F1728EB" w14:textId="77777777" w:rsidR="005D3FDE" w:rsidRPr="006F6651" w:rsidRDefault="005D3FDE" w:rsidP="00C3152C">
      <w:pPr>
        <w:numPr>
          <w:ilvl w:val="0"/>
          <w:numId w:val="16"/>
        </w:numPr>
      </w:pPr>
      <w:r w:rsidRPr="006F6651">
        <w:t xml:space="preserve">Advertising </w:t>
      </w:r>
      <w:r w:rsidRPr="006F6651">
        <w:rPr>
          <w:i/>
        </w:rPr>
        <w:t>not</w:t>
      </w:r>
      <w:r w:rsidRPr="006F6651">
        <w:t xml:space="preserve"> associated with personnel recruitment, procurement of goods and services, and disposal of surplus property;</w:t>
      </w:r>
    </w:p>
    <w:p w14:paraId="16899AF0" w14:textId="77777777" w:rsidR="005D3FDE" w:rsidRPr="006F6651" w:rsidRDefault="005D3FDE" w:rsidP="00C3152C">
      <w:pPr>
        <w:numPr>
          <w:ilvl w:val="0"/>
          <w:numId w:val="16"/>
        </w:numPr>
      </w:pPr>
      <w:r w:rsidRPr="006F6651">
        <w:t>Costs incurred by advisory councils or committees unless specifically authorized by HUD;</w:t>
      </w:r>
    </w:p>
    <w:p w14:paraId="38099B51" w14:textId="77777777" w:rsidR="005D3FDE" w:rsidRPr="006F6651" w:rsidRDefault="005D3FDE" w:rsidP="00C3152C">
      <w:pPr>
        <w:numPr>
          <w:ilvl w:val="0"/>
          <w:numId w:val="16"/>
        </w:numPr>
      </w:pPr>
      <w:r w:rsidRPr="006F6651">
        <w:t>Costs of alcoholic beverages;</w:t>
      </w:r>
    </w:p>
    <w:p w14:paraId="639839C1" w14:textId="77777777" w:rsidR="005D3FDE" w:rsidRPr="006F6651" w:rsidRDefault="005D3FDE" w:rsidP="00C3152C">
      <w:pPr>
        <w:numPr>
          <w:ilvl w:val="0"/>
          <w:numId w:val="16"/>
        </w:numPr>
      </w:pPr>
      <w:r w:rsidRPr="006F6651">
        <w:t>Bad debts and/or any losses arising from un-collectible accounts;</w:t>
      </w:r>
    </w:p>
    <w:p w14:paraId="61EC9E51" w14:textId="77777777" w:rsidR="005D3FDE" w:rsidRPr="006F6651" w:rsidRDefault="005D3FDE" w:rsidP="00C3152C">
      <w:pPr>
        <w:numPr>
          <w:ilvl w:val="0"/>
          <w:numId w:val="16"/>
        </w:numPr>
      </w:pPr>
      <w:r w:rsidRPr="006F6651">
        <w:t xml:space="preserve">Contributions and donations, including cash, property and services made by organization regardless of recipient; </w:t>
      </w:r>
    </w:p>
    <w:p w14:paraId="4D827745" w14:textId="77777777" w:rsidR="005D3FDE" w:rsidRPr="006F6651" w:rsidRDefault="005D3FDE" w:rsidP="00C3152C">
      <w:pPr>
        <w:numPr>
          <w:ilvl w:val="0"/>
          <w:numId w:val="16"/>
        </w:numPr>
      </w:pPr>
      <w:r w:rsidRPr="006F6651">
        <w:t>Donations to a contingency reserve or unforeseen events;</w:t>
      </w:r>
    </w:p>
    <w:p w14:paraId="212676D9" w14:textId="77777777" w:rsidR="005D3FDE" w:rsidRPr="006F6651" w:rsidRDefault="005D3FDE" w:rsidP="00C3152C">
      <w:pPr>
        <w:numPr>
          <w:ilvl w:val="0"/>
          <w:numId w:val="16"/>
        </w:numPr>
      </w:pPr>
      <w:r w:rsidRPr="006F6651">
        <w:t>Costs of entertainment, including amusement, diversion, and social activities and any costs directly associated with such costs (such as tickets to shows or sports events, meals, lodging, rentals, transportation, and gratuities);</w:t>
      </w:r>
    </w:p>
    <w:p w14:paraId="5BAA2212" w14:textId="77777777" w:rsidR="005D3FDE" w:rsidRPr="006F6651" w:rsidRDefault="005D3FDE" w:rsidP="00C3152C">
      <w:pPr>
        <w:numPr>
          <w:ilvl w:val="0"/>
          <w:numId w:val="16"/>
        </w:numPr>
      </w:pPr>
      <w:r w:rsidRPr="006F6651">
        <w:t>Costs of organized fundraising;</w:t>
      </w:r>
    </w:p>
    <w:p w14:paraId="28E9F212" w14:textId="77777777" w:rsidR="005D3FDE" w:rsidRPr="006F6651" w:rsidRDefault="005D3FDE" w:rsidP="00C3152C">
      <w:pPr>
        <w:numPr>
          <w:ilvl w:val="0"/>
          <w:numId w:val="16"/>
        </w:numPr>
      </w:pPr>
      <w:r w:rsidRPr="006F6651">
        <w:t>Fines and penalties resulting from violations or failure to comply with laws and regulations;</w:t>
      </w:r>
    </w:p>
    <w:p w14:paraId="31F854BD" w14:textId="77777777" w:rsidR="005D3FDE" w:rsidRPr="006F6651" w:rsidRDefault="005D3FDE" w:rsidP="00C3152C">
      <w:pPr>
        <w:numPr>
          <w:ilvl w:val="0"/>
          <w:numId w:val="16"/>
        </w:numPr>
      </w:pPr>
      <w:r w:rsidRPr="006F6651">
        <w:t>Membership expenses in lobbying organizations;</w:t>
      </w:r>
    </w:p>
    <w:p w14:paraId="1ED792FB" w14:textId="77777777" w:rsidR="005D3FDE" w:rsidRPr="006F6651" w:rsidRDefault="005D3FDE" w:rsidP="00C3152C">
      <w:pPr>
        <w:numPr>
          <w:ilvl w:val="0"/>
          <w:numId w:val="16"/>
        </w:numPr>
      </w:pPr>
      <w:r w:rsidRPr="006F6651">
        <w:t>Interest and other financial costs;</w:t>
      </w:r>
    </w:p>
    <w:p w14:paraId="4F2E6320" w14:textId="77777777" w:rsidR="005D3FDE" w:rsidRPr="006F6651" w:rsidRDefault="005D3FDE" w:rsidP="00C3152C">
      <w:pPr>
        <w:numPr>
          <w:ilvl w:val="0"/>
          <w:numId w:val="16"/>
        </w:numPr>
      </w:pPr>
      <w:r w:rsidRPr="006F6651">
        <w:t>Personal items;</w:t>
      </w:r>
    </w:p>
    <w:p w14:paraId="419DA874" w14:textId="77777777" w:rsidR="005D3FDE" w:rsidRPr="006F6651" w:rsidRDefault="005D3FDE" w:rsidP="00C3152C">
      <w:pPr>
        <w:numPr>
          <w:ilvl w:val="0"/>
          <w:numId w:val="16"/>
        </w:numPr>
      </w:pPr>
      <w:r w:rsidRPr="006F6651">
        <w:t>Legal fees;</w:t>
      </w:r>
    </w:p>
    <w:p w14:paraId="58543E36" w14:textId="77777777" w:rsidR="005D3FDE" w:rsidRPr="006F6651" w:rsidRDefault="005D3FDE" w:rsidP="00C3152C">
      <w:pPr>
        <w:numPr>
          <w:ilvl w:val="0"/>
          <w:numId w:val="16"/>
        </w:numPr>
      </w:pPr>
      <w:r w:rsidRPr="006F6651">
        <w:t>Costs associated with out-of-county air/ground travel, equipment and subcontracts that were incurred prior to obtaining written approval from MOHCD</w:t>
      </w:r>
    </w:p>
    <w:p w14:paraId="32E36FD1" w14:textId="77777777" w:rsidR="005D3FDE" w:rsidRPr="006F6651" w:rsidRDefault="005D3FDE" w:rsidP="005D3FDE"/>
    <w:p w14:paraId="5A45625E" w14:textId="77777777" w:rsidR="0099428C" w:rsidRPr="006F6651" w:rsidRDefault="0099428C" w:rsidP="0099428C">
      <w:r w:rsidRPr="006F6651">
        <w:t xml:space="preserve">For a </w:t>
      </w:r>
      <w:r w:rsidRPr="006F6651">
        <w:rPr>
          <w:u w:val="single"/>
        </w:rPr>
        <w:t>complete description of eligible and ineligible costs</w:t>
      </w:r>
      <w:r w:rsidRPr="006F6651">
        <w:t xml:space="preserve">, please see </w:t>
      </w:r>
      <w:r>
        <w:t xml:space="preserve">OMB Guidance: </w:t>
      </w:r>
      <w:r>
        <w:rPr>
          <w:i/>
        </w:rPr>
        <w:t>Administrative Requirements, Cost Principles, and Audit Requirements for Federal Awards (Super Circular)</w:t>
      </w:r>
      <w:r w:rsidRPr="006F6651">
        <w:t>.</w:t>
      </w:r>
    </w:p>
    <w:p w14:paraId="32DB87E4" w14:textId="77777777" w:rsidR="005D3FDE" w:rsidRPr="006F6651" w:rsidRDefault="005D3FDE" w:rsidP="005D3FDE"/>
    <w:p w14:paraId="2AF90434" w14:textId="77777777" w:rsidR="005D3FDE" w:rsidRPr="006F6651" w:rsidRDefault="005D3FDE" w:rsidP="005D3FDE">
      <w:pPr>
        <w:pStyle w:val="Heading4"/>
        <w:spacing w:before="0" w:after="0"/>
        <w:rPr>
          <w:rFonts w:ascii="Times New Roman" w:hAnsi="Times New Roman"/>
          <w:u w:val="single"/>
        </w:rPr>
      </w:pPr>
      <w:r w:rsidRPr="006F6651">
        <w:rPr>
          <w:rFonts w:ascii="Times New Roman" w:hAnsi="Times New Roman"/>
          <w:u w:val="single"/>
        </w:rPr>
        <w:t>Ineligible Costs for CDBG</w:t>
      </w:r>
    </w:p>
    <w:p w14:paraId="2E231895" w14:textId="77777777" w:rsidR="005D3FDE" w:rsidRPr="006F6651" w:rsidRDefault="005D3FDE" w:rsidP="005D3FDE"/>
    <w:p w14:paraId="1372CFDE" w14:textId="77777777" w:rsidR="005D3FDE" w:rsidRPr="006F6651" w:rsidRDefault="005D3FDE" w:rsidP="00C3152C">
      <w:pPr>
        <w:numPr>
          <w:ilvl w:val="0"/>
          <w:numId w:val="29"/>
        </w:numPr>
      </w:pPr>
      <w:r w:rsidRPr="006F6651">
        <w:t xml:space="preserve">Stipends or subsistence-type grant payments. </w:t>
      </w:r>
    </w:p>
    <w:p w14:paraId="369D32EB" w14:textId="77777777" w:rsidR="005D3FDE" w:rsidRDefault="005D3FDE" w:rsidP="00C3152C">
      <w:pPr>
        <w:numPr>
          <w:ilvl w:val="0"/>
          <w:numId w:val="29"/>
        </w:numPr>
      </w:pPr>
      <w:r w:rsidRPr="006F6651">
        <w:t>Political activities</w:t>
      </w:r>
    </w:p>
    <w:p w14:paraId="54098586" w14:textId="0C543CFA" w:rsidR="004D482B" w:rsidRPr="006F6651" w:rsidRDefault="004D482B" w:rsidP="00C3152C">
      <w:pPr>
        <w:numPr>
          <w:ilvl w:val="0"/>
          <w:numId w:val="29"/>
        </w:numPr>
      </w:pPr>
      <w:r>
        <w:t>Food</w:t>
      </w:r>
    </w:p>
    <w:p w14:paraId="47B72ED9" w14:textId="77777777" w:rsidR="005D3FDE" w:rsidRPr="006F6651" w:rsidRDefault="005D3FDE" w:rsidP="00C3152C">
      <w:pPr>
        <w:numPr>
          <w:ilvl w:val="0"/>
          <w:numId w:val="29"/>
        </w:numPr>
      </w:pPr>
      <w:r w:rsidRPr="006F6651">
        <w:t>Ongoing grants or non-emergency payments (defined as more than 3 consecutive months) to individuals for their food, clothing, rent, utilities or other income payments.</w:t>
      </w:r>
    </w:p>
    <w:p w14:paraId="598D0DA0" w14:textId="77777777" w:rsidR="005D3FDE" w:rsidRPr="006F6651" w:rsidRDefault="005D3FDE" w:rsidP="005D3FDE">
      <w:pPr>
        <w:rPr>
          <w:b/>
          <w:bCs/>
        </w:rPr>
      </w:pPr>
    </w:p>
    <w:p w14:paraId="1350A851" w14:textId="77777777" w:rsidR="005D3FDE" w:rsidRPr="006F6651" w:rsidRDefault="005D3FDE" w:rsidP="005D3FDE">
      <w:pPr>
        <w:pStyle w:val="Heading4"/>
        <w:spacing w:before="0" w:after="0"/>
        <w:rPr>
          <w:rFonts w:ascii="Times New Roman" w:hAnsi="Times New Roman"/>
          <w:bCs/>
          <w:u w:val="single"/>
        </w:rPr>
      </w:pPr>
      <w:r w:rsidRPr="006F6651">
        <w:rPr>
          <w:rFonts w:ascii="Times New Roman" w:hAnsi="Times New Roman"/>
          <w:bCs/>
          <w:u w:val="single"/>
        </w:rPr>
        <w:lastRenderedPageBreak/>
        <w:t>Matching Grants and In-Kind Contributions</w:t>
      </w:r>
    </w:p>
    <w:p w14:paraId="1855E233" w14:textId="77777777" w:rsidR="005D3FDE" w:rsidRPr="006F6651" w:rsidRDefault="005D3FDE" w:rsidP="005D3FDE">
      <w:r w:rsidRPr="006F6651">
        <w:t xml:space="preserve">Matching contributions can take the form of cash, non-cash equivalent services, equipment, or other non-expendable property.  Cost principles for valuation of in-kind and other contributions must: </w:t>
      </w:r>
    </w:p>
    <w:p w14:paraId="31D38FE7" w14:textId="77777777" w:rsidR="005D3FDE" w:rsidRPr="006F6651" w:rsidRDefault="005D3FDE" w:rsidP="00C3152C">
      <w:pPr>
        <w:numPr>
          <w:ilvl w:val="0"/>
          <w:numId w:val="17"/>
        </w:numPr>
      </w:pPr>
      <w:r w:rsidRPr="006F6651">
        <w:t>Be verifiable records;</w:t>
      </w:r>
    </w:p>
    <w:p w14:paraId="1C444E70" w14:textId="77777777" w:rsidR="005D3FDE" w:rsidRPr="006F6651" w:rsidRDefault="005D3FDE" w:rsidP="00C3152C">
      <w:pPr>
        <w:numPr>
          <w:ilvl w:val="0"/>
          <w:numId w:val="17"/>
        </w:numPr>
      </w:pPr>
      <w:r w:rsidRPr="006F6651">
        <w:t>Not be included as a contribution for any other federally-assisted program;</w:t>
      </w:r>
    </w:p>
    <w:p w14:paraId="0381D70A" w14:textId="77777777" w:rsidR="005D3FDE" w:rsidRPr="006F6651" w:rsidRDefault="005D3FDE" w:rsidP="00C3152C">
      <w:pPr>
        <w:numPr>
          <w:ilvl w:val="0"/>
          <w:numId w:val="17"/>
        </w:numPr>
      </w:pPr>
      <w:r w:rsidRPr="006F6651">
        <w:t>Ensure value of services be consistent with those paid for similar work;</w:t>
      </w:r>
    </w:p>
    <w:p w14:paraId="27233E86" w14:textId="77777777" w:rsidR="005D3FDE" w:rsidRPr="006F6651" w:rsidRDefault="005D3FDE" w:rsidP="00C3152C">
      <w:pPr>
        <w:numPr>
          <w:ilvl w:val="0"/>
          <w:numId w:val="17"/>
        </w:numPr>
      </w:pPr>
      <w:r w:rsidRPr="006F6651">
        <w:t>Ensure value of property be at fair market value;</w:t>
      </w:r>
    </w:p>
    <w:p w14:paraId="0E2274BF" w14:textId="78019518" w:rsidR="005D3FDE" w:rsidRPr="006F6651" w:rsidRDefault="005D3FDE" w:rsidP="00C3152C">
      <w:pPr>
        <w:numPr>
          <w:ilvl w:val="0"/>
          <w:numId w:val="17"/>
        </w:numPr>
      </w:pPr>
      <w:r w:rsidRPr="006F6651">
        <w:t>Document volunteer services (names, addresses, dates and hours of work);</w:t>
      </w:r>
      <w:r w:rsidR="006A406D">
        <w:t xml:space="preserve"> and</w:t>
      </w:r>
    </w:p>
    <w:p w14:paraId="5AE58399" w14:textId="77777777" w:rsidR="005D3FDE" w:rsidRPr="006F6651" w:rsidRDefault="005D3FDE" w:rsidP="00C3152C">
      <w:pPr>
        <w:numPr>
          <w:ilvl w:val="0"/>
          <w:numId w:val="17"/>
        </w:numPr>
      </w:pPr>
      <w:r w:rsidRPr="006F6651">
        <w:t>Include basis for determining the value of personal services, material, equipment, land and other fixed assets.</w:t>
      </w:r>
    </w:p>
    <w:p w14:paraId="31F677F9" w14:textId="77777777" w:rsidR="005D3FDE" w:rsidRPr="006F6651" w:rsidRDefault="005D3FDE" w:rsidP="005D3FDE"/>
    <w:p w14:paraId="57655ACE" w14:textId="690D4CF1" w:rsidR="005D3FDE" w:rsidRPr="00405A17" w:rsidRDefault="00AD5C6E" w:rsidP="005D3FDE">
      <w:pPr>
        <w:pStyle w:val="Heading4"/>
        <w:spacing w:before="0" w:after="0"/>
        <w:ind w:left="720" w:hanging="360"/>
        <w:rPr>
          <w:rFonts w:ascii="Times New Roman" w:hAnsi="Times New Roman"/>
          <w:bCs/>
          <w:u w:val="single"/>
        </w:rPr>
      </w:pPr>
      <w:r w:rsidRPr="00405A17">
        <w:rPr>
          <w:rFonts w:ascii="Times New Roman" w:hAnsi="Times New Roman"/>
          <w:bCs/>
          <w:u w:val="single"/>
        </w:rPr>
        <w:t>2.  REIMBURSEMENT OF EXPENSES</w:t>
      </w:r>
    </w:p>
    <w:p w14:paraId="66597863" w14:textId="77777777" w:rsidR="005D3FDE" w:rsidRPr="006F6651" w:rsidRDefault="005D3FDE" w:rsidP="005D3FDE">
      <w:pPr>
        <w:rPr>
          <w:b/>
          <w:bCs/>
        </w:rPr>
      </w:pPr>
    </w:p>
    <w:p w14:paraId="116C48DB" w14:textId="6D9CB88E" w:rsidR="005D3FDE" w:rsidRPr="006F6651" w:rsidRDefault="005D3FDE" w:rsidP="005D3FDE">
      <w:r w:rsidRPr="006F6651">
        <w:t xml:space="preserve">Grants are awarded on a cost reimbursement system.  Agencies must submit a monthly program and cost report through the Grants Management </w:t>
      </w:r>
      <w:r w:rsidR="00116428">
        <w:t>S</w:t>
      </w:r>
      <w:r w:rsidRPr="006F6651">
        <w:t>ystem</w:t>
      </w:r>
      <w:r w:rsidR="00116428">
        <w:t xml:space="preserve"> (GMS)</w:t>
      </w:r>
      <w:r w:rsidRPr="006F6651">
        <w:t xml:space="preserve"> and MOHCD will reimburse grantees for budgeted program expenses. </w:t>
      </w:r>
      <w:r w:rsidR="006522B8">
        <w:t xml:space="preserve">Reports must be submitted monthly.  </w:t>
      </w:r>
      <w:r w:rsidRPr="006F6651">
        <w:t>Program and client data must be reported as a condition of reimbursement.</w:t>
      </w:r>
    </w:p>
    <w:p w14:paraId="0233B9B4" w14:textId="77777777" w:rsidR="005D3FDE" w:rsidRPr="006F6651" w:rsidRDefault="005D3FDE" w:rsidP="005D3FDE"/>
    <w:p w14:paraId="1567CE17" w14:textId="30611021" w:rsidR="005D3FDE" w:rsidRPr="006F6651" w:rsidRDefault="005D3FDE" w:rsidP="005D3FDE">
      <w:r w:rsidRPr="006F6651">
        <w:t xml:space="preserve">At the discretion of the grant coordinator, copies of the monthly payroll register and quarterly payroll tax report (DE6 and 941) </w:t>
      </w:r>
      <w:r w:rsidR="00AD5C6E">
        <w:t>may</w:t>
      </w:r>
      <w:r w:rsidRPr="006F6651">
        <w:t xml:space="preserve"> be </w:t>
      </w:r>
      <w:r w:rsidR="00AD5C6E">
        <w:t xml:space="preserve">required </w:t>
      </w:r>
      <w:r w:rsidRPr="006F6651">
        <w:t>at the time of submission of online reimbursement request</w:t>
      </w:r>
      <w:r w:rsidR="00AD5C6E">
        <w:t xml:space="preserve"> (</w:t>
      </w:r>
      <w:r w:rsidR="00AD5C6E" w:rsidRPr="006F6651">
        <w:t>su</w:t>
      </w:r>
      <w:r w:rsidR="00AD5C6E">
        <w:t>bmitted by e-mail, fax or mail and</w:t>
      </w:r>
      <w:r w:rsidR="00B8082D">
        <w:t xml:space="preserve"> </w:t>
      </w:r>
      <w:r w:rsidR="00AD5C6E" w:rsidRPr="006F6651">
        <w:t>postmarked by the 15</w:t>
      </w:r>
      <w:r w:rsidR="00AD5C6E" w:rsidRPr="006F6651">
        <w:rPr>
          <w:vertAlign w:val="superscript"/>
        </w:rPr>
        <w:t>th</w:t>
      </w:r>
      <w:r w:rsidR="00AD5C6E" w:rsidRPr="006F6651">
        <w:t xml:space="preserve"> of each month)</w:t>
      </w:r>
      <w:r w:rsidRPr="006F6651">
        <w:t>.  If a grant coordinator does not require monthly submission</w:t>
      </w:r>
      <w:r w:rsidR="00AD5C6E">
        <w:t xml:space="preserve"> of these backup </w:t>
      </w:r>
      <w:r w:rsidRPr="006F6651">
        <w:t>document</w:t>
      </w:r>
      <w:r w:rsidR="00116428">
        <w:t>s</w:t>
      </w:r>
      <w:r w:rsidR="00AD5C6E">
        <w:t>, then copies</w:t>
      </w:r>
      <w:r w:rsidRPr="006F6651">
        <w:t xml:space="preserve"> must be maintained and made available for review at any site visit.  The payroll register must identify MOHCD</w:t>
      </w:r>
      <w:r w:rsidR="00116428">
        <w:t>-</w:t>
      </w:r>
      <w:r w:rsidRPr="006F6651">
        <w:t xml:space="preserve">funded employees.   All confidential information on the payroll register can be blocked out to ensure privacy.  </w:t>
      </w:r>
    </w:p>
    <w:p w14:paraId="4A59F577" w14:textId="77777777" w:rsidR="005D3FDE" w:rsidRPr="006F6651" w:rsidRDefault="005D3FDE" w:rsidP="005D3FDE"/>
    <w:p w14:paraId="782AAE0B" w14:textId="77777777" w:rsidR="005D3FDE" w:rsidRPr="006F6651" w:rsidRDefault="005D3FDE" w:rsidP="005D3FDE">
      <w:r w:rsidRPr="006F6651">
        <w:t xml:space="preserve">The three-step process for reimbursement is as follows: </w:t>
      </w:r>
    </w:p>
    <w:p w14:paraId="1863D7B5" w14:textId="16B4953D" w:rsidR="005D3FDE" w:rsidRPr="006F6651" w:rsidRDefault="005D3FDE" w:rsidP="00C3152C">
      <w:pPr>
        <w:numPr>
          <w:ilvl w:val="0"/>
          <w:numId w:val="20"/>
        </w:numPr>
      </w:pPr>
      <w:r w:rsidRPr="006F6651">
        <w:t xml:space="preserve">Grantee submits accurate and completed </w:t>
      </w:r>
      <w:r w:rsidR="00AD5C6E">
        <w:t xml:space="preserve">monthly report on GMS </w:t>
      </w:r>
      <w:r w:rsidR="00AD5C6E" w:rsidRPr="006F6651">
        <w:t>within 15 days of the close of the reporting month</w:t>
      </w:r>
      <w:r w:rsidR="00AD5C6E">
        <w:t xml:space="preserve">.  Grantee must specifically request an alternate schedule and have it approved by </w:t>
      </w:r>
      <w:r w:rsidR="00116428">
        <w:t xml:space="preserve">the </w:t>
      </w:r>
      <w:r w:rsidR="00AD5C6E">
        <w:t>Grant Coordinator (</w:t>
      </w:r>
      <w:r w:rsidR="00116428">
        <w:t>e.g.</w:t>
      </w:r>
      <w:r w:rsidR="00AD5C6E">
        <w:t>, if the agency closes its books later in the month).  Regardless, monthly reporting is required of all grante</w:t>
      </w:r>
      <w:r w:rsidR="000E125C">
        <w:t>e</w:t>
      </w:r>
      <w:r w:rsidR="00AD5C6E">
        <w:t>s.</w:t>
      </w:r>
      <w:r w:rsidRPr="006F6651">
        <w:t xml:space="preserve"> </w:t>
      </w:r>
    </w:p>
    <w:p w14:paraId="4956EA09" w14:textId="28CDF112" w:rsidR="005D3FDE" w:rsidRPr="000E125C" w:rsidRDefault="005D3FDE" w:rsidP="00C3152C">
      <w:pPr>
        <w:numPr>
          <w:ilvl w:val="0"/>
          <w:numId w:val="20"/>
        </w:numPr>
      </w:pPr>
      <w:r w:rsidRPr="006F6651">
        <w:t xml:space="preserve">MOHCD reviews these documents for eligibility, performance, appropriateness and </w:t>
      </w:r>
      <w:r w:rsidRPr="000E125C">
        <w:t>compliance</w:t>
      </w:r>
      <w:r w:rsidR="00116428">
        <w:t>.</w:t>
      </w:r>
    </w:p>
    <w:p w14:paraId="7FB8793E" w14:textId="0B76FFC2" w:rsidR="000E125C" w:rsidRPr="00C3152C" w:rsidRDefault="005D3FDE" w:rsidP="00C3152C">
      <w:pPr>
        <w:numPr>
          <w:ilvl w:val="0"/>
          <w:numId w:val="20"/>
        </w:numPr>
      </w:pPr>
      <w:r w:rsidRPr="000E125C">
        <w:t>The City makes ACH (Automated Clearing House) payments or electronic transfer</w:t>
      </w:r>
      <w:r w:rsidR="000464C1">
        <w:t>s</w:t>
      </w:r>
      <w:r w:rsidRPr="000E125C">
        <w:t xml:space="preserve"> of funds to the Agency’s bank account</w:t>
      </w:r>
      <w:r w:rsidR="000E125C" w:rsidRPr="000E125C">
        <w:t>.</w:t>
      </w:r>
      <w:r w:rsidRPr="000E125C">
        <w:t xml:space="preserve"> MOHCD verifies the remittance address on the Agency’s invoice to that of the City’s Vendor File to ensure the right Agency is paid. </w:t>
      </w:r>
      <w:r w:rsidR="000E125C" w:rsidRPr="00405A17">
        <w:t>MOHCD requires electronic payments to be set up between the agency and the City as this provides a much more efficient way of receiving payment. </w:t>
      </w:r>
      <w:r w:rsidR="0084610E">
        <w:t>It only takes ten minutes to enroll</w:t>
      </w:r>
      <w:r w:rsidR="009E4CF4">
        <w:t xml:space="preserve"> in </w:t>
      </w:r>
      <w:hyperlink r:id="rId14" w:history="1">
        <w:r w:rsidR="009E4CF4" w:rsidRPr="0084610E">
          <w:rPr>
            <w:rStyle w:val="Hyperlink"/>
          </w:rPr>
          <w:t>Paymode-X</w:t>
        </w:r>
      </w:hyperlink>
      <w:r w:rsidR="0084610E">
        <w:t>, the City’s electronic payment network</w:t>
      </w:r>
      <w:r w:rsidR="009E4CF4">
        <w:t xml:space="preserve">. After </w:t>
      </w:r>
      <w:r w:rsidR="0084610E">
        <w:t>enrolling</w:t>
      </w:r>
      <w:r w:rsidR="009E4CF4">
        <w:t xml:space="preserve">, </w:t>
      </w:r>
      <w:r w:rsidR="0084610E">
        <w:t xml:space="preserve">the agency </w:t>
      </w:r>
      <w:r w:rsidR="009E4CF4">
        <w:t>sho</w:t>
      </w:r>
      <w:r w:rsidR="0084610E">
        <w:t xml:space="preserve">uld notify the City by </w:t>
      </w:r>
      <w:r w:rsidR="009E4CF4">
        <w:t xml:space="preserve">emailing </w:t>
      </w:r>
      <w:hyperlink r:id="rId15" w:history="1">
        <w:r w:rsidR="0084610E" w:rsidRPr="00A2063E">
          <w:rPr>
            <w:rStyle w:val="Hyperlink"/>
          </w:rPr>
          <w:t>sfcitypartnersupport@sfgov.org</w:t>
        </w:r>
      </w:hyperlink>
      <w:r w:rsidR="0084610E">
        <w:t xml:space="preserve"> and cc’ing their program officer</w:t>
      </w:r>
      <w:r w:rsidR="009E4CF4">
        <w:t xml:space="preserve"> so we can track the Paymode-X activation process</w:t>
      </w:r>
      <w:r w:rsidR="0084610E">
        <w:t xml:space="preserve">. The full process can take two to three weeks. If needed, the </w:t>
      </w:r>
      <w:r w:rsidR="009E4CF4">
        <w:t xml:space="preserve">Controller’s Office can issue paper checks </w:t>
      </w:r>
      <w:r w:rsidR="0084610E">
        <w:t xml:space="preserve">to a grantee </w:t>
      </w:r>
      <w:r w:rsidR="009E4CF4">
        <w:t xml:space="preserve">while waiting for </w:t>
      </w:r>
      <w:r w:rsidR="0084610E">
        <w:t xml:space="preserve">their </w:t>
      </w:r>
      <w:r w:rsidR="009E4CF4">
        <w:t>Paymode-X account to be</w:t>
      </w:r>
      <w:r w:rsidR="0084610E">
        <w:t>come</w:t>
      </w:r>
      <w:r w:rsidR="009E4CF4">
        <w:t xml:space="preserve"> active</w:t>
      </w:r>
      <w:r w:rsidR="0084610E">
        <w:t>.</w:t>
      </w:r>
    </w:p>
    <w:p w14:paraId="63102EDD" w14:textId="77777777" w:rsidR="000E125C" w:rsidRDefault="000E125C" w:rsidP="000E125C">
      <w:pPr>
        <w:rPr>
          <w:color w:val="FF0000"/>
        </w:rPr>
      </w:pPr>
    </w:p>
    <w:p w14:paraId="2A8532DE" w14:textId="3BE33F8E" w:rsidR="005D3FDE" w:rsidRPr="006F6651" w:rsidRDefault="005D3FDE" w:rsidP="005D3FDE">
      <w:r w:rsidRPr="006F6651">
        <w:lastRenderedPageBreak/>
        <w:t xml:space="preserve">Hard copies of supporting documents (including client records, </w:t>
      </w:r>
      <w:r w:rsidR="00751B8E">
        <w:t xml:space="preserve">receipts, </w:t>
      </w:r>
      <w:r w:rsidRPr="006F6651">
        <w:t xml:space="preserve">invoices, delivery slips and photocopies of checks used for payments) must be kept at the agency.  </w:t>
      </w:r>
    </w:p>
    <w:p w14:paraId="52FD3382" w14:textId="77777777" w:rsidR="005D3FDE" w:rsidRPr="006F6651" w:rsidRDefault="005D3FDE" w:rsidP="005D3FDE"/>
    <w:p w14:paraId="56ADD94B" w14:textId="71E1E057" w:rsidR="0099428C" w:rsidRPr="006F6651" w:rsidRDefault="005D3FDE" w:rsidP="0099428C">
      <w:r w:rsidRPr="006F6651">
        <w:t xml:space="preserve">When necessary, MOHCD will request additional information to confirm compliance with HUD regulations.  Any </w:t>
      </w:r>
      <w:r w:rsidRPr="006F6651">
        <w:rPr>
          <w:i/>
        </w:rPr>
        <w:t>questioned costs</w:t>
      </w:r>
      <w:r w:rsidRPr="006F6651">
        <w:t xml:space="preserve"> must be resolved within 90 days or it will be nullified and the questioned amount deducted from future payments. </w:t>
      </w:r>
      <w:r w:rsidR="0099428C" w:rsidRPr="006F6651">
        <w:t xml:space="preserve">For a </w:t>
      </w:r>
      <w:r w:rsidR="0099428C" w:rsidRPr="006F6651">
        <w:rPr>
          <w:u w:val="single"/>
        </w:rPr>
        <w:t>complete description of eligible and ineligible costs</w:t>
      </w:r>
      <w:r w:rsidR="0099428C" w:rsidRPr="006F6651">
        <w:t xml:space="preserve">, please see </w:t>
      </w:r>
      <w:hyperlink r:id="rId16" w:history="1">
        <w:r w:rsidR="0099428C" w:rsidRPr="00EF59FA">
          <w:rPr>
            <w:rStyle w:val="Hyperlink"/>
          </w:rPr>
          <w:t xml:space="preserve">OMB Guidance: </w:t>
        </w:r>
        <w:r w:rsidR="0099428C" w:rsidRPr="00EF59FA">
          <w:rPr>
            <w:rStyle w:val="Hyperlink"/>
            <w:i/>
          </w:rPr>
          <w:t>Administrative Requirements, Cost Principles, and Audit Requirements for Federal Awards (Super Circular)</w:t>
        </w:r>
      </w:hyperlink>
      <w:r w:rsidR="0099428C" w:rsidRPr="006F6651">
        <w:t>.</w:t>
      </w:r>
    </w:p>
    <w:p w14:paraId="55509544" w14:textId="77777777" w:rsidR="005D3FDE" w:rsidRPr="006F6651" w:rsidRDefault="005D3FDE" w:rsidP="005D3FDE">
      <w:pPr>
        <w:rPr>
          <w:bCs/>
        </w:rPr>
      </w:pPr>
    </w:p>
    <w:p w14:paraId="0F7B386F" w14:textId="77777777" w:rsidR="005D3FDE" w:rsidRPr="006F6651" w:rsidRDefault="005D3FDE" w:rsidP="005D3FDE">
      <w:pPr>
        <w:ind w:left="720" w:hanging="360"/>
        <w:rPr>
          <w:b/>
          <w:bCs/>
        </w:rPr>
      </w:pPr>
      <w:r w:rsidRPr="006F6651">
        <w:rPr>
          <w:b/>
          <w:bCs/>
        </w:rPr>
        <w:t>3.  Budget Revision</w:t>
      </w:r>
    </w:p>
    <w:p w14:paraId="0530AEEE" w14:textId="77777777" w:rsidR="005D3FDE" w:rsidRPr="006F6651" w:rsidRDefault="005D3FDE" w:rsidP="005D3FDE"/>
    <w:p w14:paraId="37B38135" w14:textId="77777777" w:rsidR="005D3FDE" w:rsidRPr="006F6651" w:rsidRDefault="005D3FDE" w:rsidP="005D3FDE">
      <w:r w:rsidRPr="006F6651">
        <w:t xml:space="preserve">After initial approval, any budget revision requires a written explanation for the revision and requires MOHCD approval.  There is a limit of two budget revisions during the grant agreement period.  </w:t>
      </w:r>
    </w:p>
    <w:p w14:paraId="7C709030" w14:textId="77777777" w:rsidR="005D3FDE" w:rsidRPr="006F6651" w:rsidRDefault="005D3FDE" w:rsidP="005D3FDE"/>
    <w:p w14:paraId="05587BA6" w14:textId="580D988C" w:rsidR="005D3FDE" w:rsidRDefault="005D3FDE" w:rsidP="005D3FDE">
      <w:r w:rsidRPr="006F6651">
        <w:t xml:space="preserve">There are two deadlines for budget revisions, depending on the scope of the revision.  </w:t>
      </w:r>
      <w:r w:rsidR="0083195A">
        <w:t>Major</w:t>
      </w:r>
      <w:r w:rsidR="006522B8">
        <w:t xml:space="preserve"> </w:t>
      </w:r>
      <w:r w:rsidRPr="006F6651">
        <w:t>budget revision requests are due to MOHCD 75 days before the end of the grant period (e.g.</w:t>
      </w:r>
      <w:r w:rsidR="004D6E43">
        <w:t>,</w:t>
      </w:r>
      <w:r w:rsidRPr="006F6651">
        <w:t xml:space="preserve"> by April 15 for grants ending June 30).  If any of these items apply to the request, it is</w:t>
      </w:r>
      <w:r w:rsidR="00DC440A" w:rsidRPr="006F6651">
        <w:t xml:space="preserve"> considered </w:t>
      </w:r>
      <w:r w:rsidR="0083195A">
        <w:t>“Major”</w:t>
      </w:r>
      <w:r w:rsidR="00DC440A">
        <w:t>:</w:t>
      </w:r>
    </w:p>
    <w:p w14:paraId="2E8C4CAC" w14:textId="77777777" w:rsidR="00DC440A" w:rsidRPr="006F6651" w:rsidRDefault="00DC440A" w:rsidP="005D3FDE"/>
    <w:p w14:paraId="57663342" w14:textId="77777777" w:rsidR="005D3FDE" w:rsidRPr="006F6651" w:rsidRDefault="005D3FDE" w:rsidP="00C3152C">
      <w:pPr>
        <w:numPr>
          <w:ilvl w:val="0"/>
          <w:numId w:val="25"/>
        </w:numPr>
      </w:pPr>
      <w:r w:rsidRPr="006F6651">
        <w:t>Any shift greater than 10% of the total grant amount</w:t>
      </w:r>
    </w:p>
    <w:p w14:paraId="06C93D7A" w14:textId="77777777" w:rsidR="005D3FDE" w:rsidRPr="006F6651" w:rsidRDefault="005D3FDE" w:rsidP="00C3152C">
      <w:pPr>
        <w:numPr>
          <w:ilvl w:val="0"/>
          <w:numId w:val="25"/>
        </w:numPr>
      </w:pPr>
      <w:r w:rsidRPr="006F6651">
        <w:t>Any new budget line items</w:t>
      </w:r>
    </w:p>
    <w:p w14:paraId="71482445" w14:textId="77777777" w:rsidR="005D3FDE" w:rsidRPr="006F6651" w:rsidRDefault="005D3FDE" w:rsidP="00C3152C">
      <w:pPr>
        <w:numPr>
          <w:ilvl w:val="0"/>
          <w:numId w:val="25"/>
        </w:numPr>
      </w:pPr>
      <w:r w:rsidRPr="006F6651">
        <w:t>Any shift from employee to contractor expenditures</w:t>
      </w:r>
    </w:p>
    <w:p w14:paraId="77A458AF" w14:textId="77777777" w:rsidR="005D3FDE" w:rsidRPr="006F6651" w:rsidRDefault="005D3FDE" w:rsidP="00C3152C">
      <w:pPr>
        <w:numPr>
          <w:ilvl w:val="0"/>
          <w:numId w:val="25"/>
        </w:numPr>
      </w:pPr>
      <w:r w:rsidRPr="006F6651">
        <w:t>Any equipment purchase</w:t>
      </w:r>
    </w:p>
    <w:p w14:paraId="76EB27E2" w14:textId="77777777" w:rsidR="00DC440A" w:rsidRDefault="00DC440A" w:rsidP="005D3FDE"/>
    <w:p w14:paraId="3666021D" w14:textId="77777777" w:rsidR="005D3FDE" w:rsidRPr="006F6651" w:rsidRDefault="005D3FDE" w:rsidP="005D3FDE">
      <w:r w:rsidRPr="006F6651">
        <w:t>Please note that Form H for equipment and consultants/contractors must be submitted along with the budget revision request as applicable.</w:t>
      </w:r>
    </w:p>
    <w:p w14:paraId="026BD381" w14:textId="77777777" w:rsidR="005D3FDE" w:rsidRPr="006F6651" w:rsidRDefault="005D3FDE" w:rsidP="005D3FDE"/>
    <w:p w14:paraId="7D9D9B7B" w14:textId="77777777" w:rsidR="005D3FDE" w:rsidRPr="006F6651" w:rsidRDefault="005D3FDE" w:rsidP="005D3FDE">
      <w:r w:rsidRPr="006F6651">
        <w:t xml:space="preserve">If none of the bullets above apply, a budget revision may be considered “Minor” with a </w:t>
      </w:r>
      <w:r w:rsidR="00E74D67">
        <w:t xml:space="preserve">later </w:t>
      </w:r>
      <w:r w:rsidRPr="006F6651">
        <w:t>submission deadline</w:t>
      </w:r>
      <w:r w:rsidR="00E74D67">
        <w:t>.</w:t>
      </w:r>
    </w:p>
    <w:p w14:paraId="2262B08E" w14:textId="77777777" w:rsidR="005D3FDE" w:rsidRPr="006F6651" w:rsidRDefault="005D3FDE" w:rsidP="005D3FDE"/>
    <w:p w14:paraId="3F1BED29" w14:textId="4175FD15" w:rsidR="005D3FDE" w:rsidRDefault="005D3FDE" w:rsidP="005D3FDE">
      <w:r w:rsidRPr="006F6651">
        <w:t xml:space="preserve">Any </w:t>
      </w:r>
      <w:r w:rsidR="00564E3C" w:rsidRPr="006F6651">
        <w:t>un</w:t>
      </w:r>
      <w:r w:rsidR="00564E3C">
        <w:t>spent</w:t>
      </w:r>
      <w:r w:rsidR="00564E3C" w:rsidRPr="006F6651">
        <w:t xml:space="preserve"> </w:t>
      </w:r>
      <w:r w:rsidRPr="006F6651">
        <w:t xml:space="preserve">funds remaining at the end of the contract will be maintained by MOHCD.  </w:t>
      </w:r>
    </w:p>
    <w:p w14:paraId="2D6612DD" w14:textId="77777777" w:rsidR="006031E7" w:rsidRDefault="006031E7" w:rsidP="005D3FDE"/>
    <w:p w14:paraId="3FEE8160" w14:textId="77777777" w:rsidR="006031E7" w:rsidRPr="00F862A2" w:rsidRDefault="006031E7" w:rsidP="0099428C">
      <w:pPr>
        <w:pStyle w:val="BodyText3"/>
        <w:ind w:firstLine="720"/>
        <w:rPr>
          <w:b/>
          <w:sz w:val="24"/>
          <w:szCs w:val="24"/>
        </w:rPr>
      </w:pPr>
      <w:r w:rsidRPr="00F862A2">
        <w:rPr>
          <w:b/>
          <w:sz w:val="24"/>
          <w:szCs w:val="24"/>
        </w:rPr>
        <w:t>4. Program Income</w:t>
      </w:r>
    </w:p>
    <w:p w14:paraId="3BE61897" w14:textId="7FA603F2" w:rsidR="006031E7" w:rsidRPr="0099428C" w:rsidRDefault="000933C3" w:rsidP="006031E7">
      <w:pPr>
        <w:pStyle w:val="BodyText3"/>
        <w:rPr>
          <w:sz w:val="24"/>
          <w:szCs w:val="24"/>
        </w:rPr>
      </w:pPr>
      <w:r>
        <w:t>“</w:t>
      </w:r>
      <w:r w:rsidR="006031E7" w:rsidRPr="0099428C">
        <w:rPr>
          <w:sz w:val="24"/>
          <w:szCs w:val="24"/>
        </w:rPr>
        <w:t xml:space="preserve">Program Income” shall mean gross income earned by Grantee from CDBG-supported, ESG-supported and HOPWA-supported activities, including but not limited to service fees, proceeds from the sale of commodities and real or personal property, usage and rental fees, payments of principal and interest on loans to eligible recipients and the repayment of deferred payment loans.  For projects that include construction, "Program Income" means all gross income from the use or rental of real property that was constructed or improved by funds granted under </w:t>
      </w:r>
      <w:r w:rsidR="006031E7">
        <w:rPr>
          <w:sz w:val="24"/>
          <w:szCs w:val="24"/>
        </w:rPr>
        <w:t xml:space="preserve">the Grant </w:t>
      </w:r>
      <w:r w:rsidR="006031E7" w:rsidRPr="0099428C">
        <w:rPr>
          <w:sz w:val="24"/>
          <w:szCs w:val="24"/>
        </w:rPr>
        <w:t>Agreement, less costs incidental to generation of such income.  To the extent such construction or improvement is assisted with funds oth</w:t>
      </w:r>
      <w:r w:rsidR="006031E7" w:rsidRPr="006031E7">
        <w:rPr>
          <w:sz w:val="24"/>
          <w:szCs w:val="24"/>
        </w:rPr>
        <w:t>er than those granted under th</w:t>
      </w:r>
      <w:r w:rsidR="006031E7">
        <w:rPr>
          <w:sz w:val="24"/>
          <w:szCs w:val="24"/>
        </w:rPr>
        <w:t>e</w:t>
      </w:r>
      <w:r w:rsidR="006031E7" w:rsidRPr="0099428C">
        <w:rPr>
          <w:sz w:val="24"/>
          <w:szCs w:val="24"/>
        </w:rPr>
        <w:t xml:space="preserve"> </w:t>
      </w:r>
      <w:r w:rsidR="006031E7">
        <w:rPr>
          <w:sz w:val="24"/>
          <w:szCs w:val="24"/>
        </w:rPr>
        <w:t xml:space="preserve">Grant </w:t>
      </w:r>
      <w:r w:rsidR="006031E7" w:rsidRPr="0099428C">
        <w:rPr>
          <w:sz w:val="24"/>
          <w:szCs w:val="24"/>
        </w:rPr>
        <w:t>Agreement, "Program Income" shall be adjusted to reflect the percentage of funds granted under th</w:t>
      </w:r>
      <w:r w:rsidR="009939A5">
        <w:rPr>
          <w:sz w:val="24"/>
          <w:szCs w:val="24"/>
        </w:rPr>
        <w:t>e</w:t>
      </w:r>
      <w:r w:rsidR="006031E7" w:rsidRPr="0099428C">
        <w:rPr>
          <w:sz w:val="24"/>
          <w:szCs w:val="24"/>
        </w:rPr>
        <w:t xml:space="preserve"> Agreement as compared to the total construction or improvement costs for the project</w:t>
      </w:r>
      <w:r w:rsidR="009939A5">
        <w:rPr>
          <w:sz w:val="24"/>
          <w:szCs w:val="24"/>
        </w:rPr>
        <w:t>.</w:t>
      </w:r>
    </w:p>
    <w:p w14:paraId="054A3519" w14:textId="51AFCA4E" w:rsidR="006031E7" w:rsidRPr="0099428C" w:rsidRDefault="006031E7" w:rsidP="006031E7">
      <w:pPr>
        <w:pStyle w:val="BodyText3"/>
        <w:rPr>
          <w:sz w:val="24"/>
          <w:szCs w:val="24"/>
        </w:rPr>
      </w:pPr>
      <w:r w:rsidRPr="0099428C">
        <w:rPr>
          <w:sz w:val="24"/>
          <w:szCs w:val="24"/>
        </w:rPr>
        <w:lastRenderedPageBreak/>
        <w:t>Program Income generated prior to the disbursement of the entire Grant Amount shall be retained by Grantee and expended against operating costs or improvement items identified in the Project Budget, or against additional operating costs or improvement items that are approved in writing by MOHCD/OEWD.  Program Income shall be substantially disbursed for eligible activities before additional cash disburseme</w:t>
      </w:r>
      <w:r w:rsidRPr="006031E7">
        <w:rPr>
          <w:sz w:val="24"/>
          <w:szCs w:val="24"/>
        </w:rPr>
        <w:t>nts may be requested under th</w:t>
      </w:r>
      <w:r>
        <w:rPr>
          <w:sz w:val="24"/>
          <w:szCs w:val="24"/>
        </w:rPr>
        <w:t xml:space="preserve">e Grant </w:t>
      </w:r>
      <w:r w:rsidRPr="0099428C">
        <w:rPr>
          <w:sz w:val="24"/>
          <w:szCs w:val="24"/>
        </w:rPr>
        <w:t>Agreement.  The Grant Amount may be reduced to the extent MOHCD/OEWD reasonably determines Program Income is available to pay for items listed in the Project Budget.</w:t>
      </w:r>
    </w:p>
    <w:p w14:paraId="0AE3A433" w14:textId="77777777" w:rsidR="006031E7" w:rsidRDefault="006031E7" w:rsidP="006031E7">
      <w:pPr>
        <w:tabs>
          <w:tab w:val="left" w:pos="440"/>
        </w:tabs>
      </w:pPr>
    </w:p>
    <w:p w14:paraId="5A1F0122" w14:textId="11E0A68C" w:rsidR="006031E7" w:rsidRDefault="006031E7" w:rsidP="006031E7">
      <w:r>
        <w:t xml:space="preserve">Program Income earned after the disbursement of the entire Grant Amount but before expiration of the </w:t>
      </w:r>
      <w:r w:rsidR="00205896">
        <w:t xml:space="preserve">grant agreement </w:t>
      </w:r>
      <w:r>
        <w:t>term shall be expended for eligible activities only and upon the prior written approval of MOHCD/OEWD.</w:t>
      </w:r>
    </w:p>
    <w:p w14:paraId="727B4F90" w14:textId="77777777" w:rsidR="006031E7" w:rsidRDefault="006031E7" w:rsidP="006031E7">
      <w:pPr>
        <w:tabs>
          <w:tab w:val="left" w:pos="440"/>
        </w:tabs>
      </w:pPr>
    </w:p>
    <w:p w14:paraId="7FA83BD3" w14:textId="77777777" w:rsidR="006031E7" w:rsidRPr="006F6651" w:rsidRDefault="006031E7" w:rsidP="00F862A2">
      <w:r>
        <w:t>Upon expiration of the later of the Tenure Period, as defined in Section 3.03, of the Grant Agreement; (ii) the term of the Grant Agreement (for Work Programs that do not include construction); and (iii) the tenure period of any other CDBG-funded, ESG-funded or HOPWA-funded agreement between City and Grantee, or if such other agreement does not have a tenure period then upon its expiration, Grantee shall return to City any unexpended Program Income from the Work Program or from any other CDBG-funded, ESG-funded or HOPWA-funded activity.</w:t>
      </w:r>
    </w:p>
    <w:p w14:paraId="740BF8DF" w14:textId="77777777" w:rsidR="005D3FDE" w:rsidRPr="006F6651" w:rsidRDefault="005D3FDE" w:rsidP="005D3FDE"/>
    <w:p w14:paraId="0A578085" w14:textId="77777777" w:rsidR="005D3FDE" w:rsidRPr="006F6651" w:rsidRDefault="006031E7" w:rsidP="005D3FDE">
      <w:pPr>
        <w:ind w:left="720" w:hanging="360"/>
        <w:rPr>
          <w:b/>
          <w:bCs/>
        </w:rPr>
      </w:pPr>
      <w:r>
        <w:rPr>
          <w:b/>
          <w:bCs/>
        </w:rPr>
        <w:t>5</w:t>
      </w:r>
      <w:r w:rsidR="005D3FDE" w:rsidRPr="006F6651">
        <w:rPr>
          <w:b/>
          <w:bCs/>
        </w:rPr>
        <w:t>.  Contract Closeout</w:t>
      </w:r>
    </w:p>
    <w:p w14:paraId="59EA2B62" w14:textId="77777777" w:rsidR="005D3FDE" w:rsidRPr="006F6651" w:rsidRDefault="005D3FDE" w:rsidP="005D3FDE"/>
    <w:p w14:paraId="078F29DE" w14:textId="5AFEED44" w:rsidR="005D3FDE" w:rsidRPr="006F6651" w:rsidRDefault="005D3FDE" w:rsidP="005D3FDE">
      <w:pPr>
        <w:rPr>
          <w:b/>
          <w:bCs/>
        </w:rPr>
      </w:pPr>
      <w:r w:rsidRPr="006F6651">
        <w:t>Grantees have a maximum of 30</w:t>
      </w:r>
      <w:r w:rsidRPr="006F6651">
        <w:rPr>
          <w:i/>
          <w:iCs/>
        </w:rPr>
        <w:t xml:space="preserve"> </w:t>
      </w:r>
      <w:r w:rsidRPr="006F6651">
        <w:t xml:space="preserve">calendar days from the termination date of the Grant Agreement to submit final cost and program reports for reimbursement.  Only those costs incurred during the term of the Grant Agreement and allocated in the original program budget or </w:t>
      </w:r>
      <w:r w:rsidRPr="006F6651">
        <w:rPr>
          <w:u w:val="single"/>
        </w:rPr>
        <w:t>authorized budget revision</w:t>
      </w:r>
      <w:r w:rsidRPr="006F6651">
        <w:t xml:space="preserve"> are eligible for reimbursement.  After the 30 days following the grant period, the grant will be reduced by the amount of the unexpended funds.  </w:t>
      </w:r>
      <w:r w:rsidR="008C4BF3">
        <w:t xml:space="preserve">The grantee must confirm with the Grant Coordinator via email if a balance of more than $100 is being left after the final invoice. </w:t>
      </w:r>
      <w:r w:rsidRPr="006F6651">
        <w:t>The City and County of San Francisco does not need a grantee’s approval to modify the contract to close out unexpended balances.</w:t>
      </w:r>
    </w:p>
    <w:p w14:paraId="1A45E645" w14:textId="77777777" w:rsidR="005D3FDE" w:rsidRPr="006F6651" w:rsidRDefault="005D3FDE" w:rsidP="005D3FDE">
      <w:pPr>
        <w:rPr>
          <w:b/>
          <w:bCs/>
        </w:rPr>
      </w:pPr>
    </w:p>
    <w:p w14:paraId="069F9686" w14:textId="77777777" w:rsidR="005D3FDE" w:rsidRPr="006F6651" w:rsidRDefault="006031E7" w:rsidP="005D3FDE">
      <w:pPr>
        <w:ind w:left="720" w:hanging="360"/>
        <w:rPr>
          <w:b/>
          <w:bCs/>
        </w:rPr>
      </w:pPr>
      <w:r>
        <w:rPr>
          <w:b/>
          <w:bCs/>
        </w:rPr>
        <w:t>6</w:t>
      </w:r>
      <w:r w:rsidR="005D3FDE" w:rsidRPr="006F6651">
        <w:rPr>
          <w:b/>
          <w:bCs/>
        </w:rPr>
        <w:t xml:space="preserve">.  Audits </w:t>
      </w:r>
    </w:p>
    <w:p w14:paraId="335E41A9" w14:textId="77777777" w:rsidR="005D3FDE" w:rsidRPr="006F6651" w:rsidRDefault="005D3FDE" w:rsidP="005D3FDE"/>
    <w:p w14:paraId="4209C5F6" w14:textId="5C3A1D46" w:rsidR="009D579E" w:rsidRDefault="005D3FDE" w:rsidP="009D579E">
      <w:r w:rsidRPr="006F6651">
        <w:t xml:space="preserve">If a grantee expended </w:t>
      </w:r>
      <w:r w:rsidR="009D579E">
        <w:rPr>
          <w:u w:val="single"/>
        </w:rPr>
        <w:t>the threshold amount</w:t>
      </w:r>
      <w:r w:rsidRPr="006F6651">
        <w:rPr>
          <w:u w:val="single"/>
        </w:rPr>
        <w:t xml:space="preserve"> </w:t>
      </w:r>
      <w:r w:rsidR="00205896">
        <w:rPr>
          <w:u w:val="single"/>
        </w:rPr>
        <w:t>of</w:t>
      </w:r>
      <w:r w:rsidR="00A54631">
        <w:rPr>
          <w:u w:val="single"/>
        </w:rPr>
        <w:t xml:space="preserve"> </w:t>
      </w:r>
      <w:r w:rsidRPr="009D579E">
        <w:rPr>
          <w:u w:val="single"/>
        </w:rPr>
        <w:t>$750,000 or more in federal funds from all sources (including grants, loans, program income, etc.)</w:t>
      </w:r>
      <w:r w:rsidRPr="006F6651">
        <w:t xml:space="preserve"> </w:t>
      </w:r>
      <w:r w:rsidRPr="009D579E">
        <w:rPr>
          <w:u w:val="single"/>
        </w:rPr>
        <w:t>in its previous fiscal year, the organization must submit a copy of an independent audit completed within nine months following the end of the organization’s fiscal year.</w:t>
      </w:r>
      <w:r w:rsidRPr="009D579E">
        <w:t xml:space="preserve">  </w:t>
      </w:r>
      <w:r w:rsidR="009D579E">
        <w:t>This audit should meet the</w:t>
      </w:r>
      <w:r w:rsidR="009D579E" w:rsidRPr="00587CD5">
        <w:rPr>
          <w:b/>
          <w:bCs/>
        </w:rPr>
        <w:t xml:space="preserve"> </w:t>
      </w:r>
      <w:r w:rsidR="009D579E">
        <w:rPr>
          <w:rStyle w:val="tgc"/>
          <w:b/>
          <w:bCs/>
        </w:rPr>
        <w:t>Uniform Guidance</w:t>
      </w:r>
      <w:r w:rsidR="009D579E">
        <w:rPr>
          <w:rStyle w:val="tgc"/>
        </w:rPr>
        <w:t xml:space="preserve"> (</w:t>
      </w:r>
      <w:r w:rsidR="009D579E" w:rsidRPr="001A213A">
        <w:rPr>
          <w:rStyle w:val="tgc"/>
          <w:bCs/>
        </w:rPr>
        <w:t>Uniform</w:t>
      </w:r>
      <w:r w:rsidR="009D579E" w:rsidRPr="00587CD5">
        <w:rPr>
          <w:rStyle w:val="tgc"/>
        </w:rPr>
        <w:t xml:space="preserve"> </w:t>
      </w:r>
      <w:r w:rsidR="009D579E">
        <w:rPr>
          <w:rStyle w:val="tgc"/>
        </w:rPr>
        <w:t>Administrative Requirements, Cost Principles, and Audit Requirements for Federal Awards)</w:t>
      </w:r>
      <w:r w:rsidR="009D579E" w:rsidRPr="006F6651">
        <w:t xml:space="preserve">.  </w:t>
      </w:r>
      <w:r w:rsidR="009D579E" w:rsidRPr="004E51A2">
        <w:t xml:space="preserve">If the grantee expended less than the threshold amount in federal funds, the organization </w:t>
      </w:r>
      <w:r w:rsidR="004E51A2" w:rsidRPr="0079244A">
        <w:t>must</w:t>
      </w:r>
      <w:r w:rsidR="009D579E" w:rsidRPr="004E51A2">
        <w:t xml:space="preserve"> provide a letter stating that they spent less than this amount of federal funds during the fiscal year</w:t>
      </w:r>
      <w:r w:rsidR="004E51A2" w:rsidRPr="0079244A">
        <w:t>.  For agencies with total annual budgets over $500,000</w:t>
      </w:r>
      <w:r w:rsidR="009D579E" w:rsidRPr="004E51A2">
        <w:t>,</w:t>
      </w:r>
      <w:r w:rsidR="004E51A2" w:rsidRPr="0079244A">
        <w:t xml:space="preserve"> this must be accompanied by a</w:t>
      </w:r>
      <w:r w:rsidR="009D579E" w:rsidRPr="004E51A2">
        <w:t xml:space="preserve"> copy of their most recent </w:t>
      </w:r>
      <w:r w:rsidR="004E51A2" w:rsidRPr="0079244A">
        <w:t xml:space="preserve">CPA </w:t>
      </w:r>
      <w:r w:rsidR="009D579E" w:rsidRPr="004E51A2">
        <w:t xml:space="preserve">audit (not subject to the more stringent Uniformed Guidance standards).  </w:t>
      </w:r>
      <w:r w:rsidR="004E51A2" w:rsidRPr="0079244A">
        <w:t xml:space="preserve">For agencies with annual budgets between $250,000 and $500,000, this can instead be a CPA Financial Review.  </w:t>
      </w:r>
      <w:r w:rsidR="009D579E" w:rsidRPr="004E51A2">
        <w:t>Agencies that have an overall agency budget of less than $250,000 may be exempted from the audit</w:t>
      </w:r>
      <w:r w:rsidR="000933C3">
        <w:t>/financial review</w:t>
      </w:r>
      <w:r w:rsidR="009D579E" w:rsidRPr="004E51A2">
        <w:t xml:space="preserve"> requirement.  </w:t>
      </w:r>
      <w:r w:rsidR="009D579E" w:rsidRPr="004E51A2">
        <w:lastRenderedPageBreak/>
        <w:t>MOHCD reserves the right to conduct a fiscal site visit or require alternate documents demonstrating sound financial controls in the absence of an audit.</w:t>
      </w:r>
    </w:p>
    <w:p w14:paraId="2B863D01" w14:textId="77777777" w:rsidR="00D10D48" w:rsidRDefault="00D10D48" w:rsidP="009D579E"/>
    <w:p w14:paraId="5EE57B7C" w14:textId="736AD53E" w:rsidR="003D1DA8" w:rsidRPr="00C12F2D" w:rsidRDefault="003D1DA8" w:rsidP="00C12F2D">
      <w:pPr>
        <w:rPr>
          <w:rFonts w:asciiTheme="minorHAnsi" w:hAnsiTheme="minorHAnsi" w:cstheme="minorHAnsi"/>
        </w:rPr>
      </w:pPr>
      <w:r w:rsidRPr="00C12F2D">
        <w:rPr>
          <w:rFonts w:asciiTheme="minorHAnsi" w:hAnsiTheme="minorHAnsi" w:cstheme="minorHAnsi"/>
          <w:b/>
          <w:bCs/>
          <w:u w:val="single"/>
        </w:rPr>
        <w:t>Fiscal Year Audits (7/1/2</w:t>
      </w:r>
      <w:r w:rsidR="00C45C91">
        <w:rPr>
          <w:rFonts w:asciiTheme="minorHAnsi" w:hAnsiTheme="minorHAnsi" w:cstheme="minorHAnsi"/>
          <w:b/>
          <w:bCs/>
          <w:u w:val="single"/>
        </w:rPr>
        <w:t xml:space="preserve">2 </w:t>
      </w:r>
      <w:r w:rsidRPr="00C12F2D">
        <w:rPr>
          <w:rFonts w:asciiTheme="minorHAnsi" w:hAnsiTheme="minorHAnsi" w:cstheme="minorHAnsi"/>
          <w:b/>
          <w:bCs/>
          <w:u w:val="single"/>
        </w:rPr>
        <w:t>-</w:t>
      </w:r>
      <w:r w:rsidR="00C45C91">
        <w:rPr>
          <w:rFonts w:asciiTheme="minorHAnsi" w:hAnsiTheme="minorHAnsi" w:cstheme="minorHAnsi"/>
          <w:b/>
          <w:bCs/>
          <w:u w:val="single"/>
        </w:rPr>
        <w:t xml:space="preserve"> </w:t>
      </w:r>
      <w:r w:rsidRPr="00C12F2D">
        <w:rPr>
          <w:rFonts w:asciiTheme="minorHAnsi" w:hAnsiTheme="minorHAnsi" w:cstheme="minorHAnsi"/>
          <w:b/>
          <w:bCs/>
          <w:u w:val="single"/>
        </w:rPr>
        <w:t>6/30/2</w:t>
      </w:r>
      <w:r w:rsidR="00C45C91">
        <w:rPr>
          <w:rFonts w:asciiTheme="minorHAnsi" w:hAnsiTheme="minorHAnsi" w:cstheme="minorHAnsi"/>
          <w:b/>
          <w:bCs/>
          <w:u w:val="single"/>
        </w:rPr>
        <w:t>3</w:t>
      </w:r>
      <w:r w:rsidRPr="00C12F2D">
        <w:rPr>
          <w:rFonts w:asciiTheme="minorHAnsi" w:hAnsiTheme="minorHAnsi" w:cstheme="minorHAnsi"/>
          <w:b/>
          <w:bCs/>
          <w:u w:val="single"/>
        </w:rPr>
        <w:t>) should have been completed by March 31, 202</w:t>
      </w:r>
      <w:r w:rsidR="00C45C91">
        <w:rPr>
          <w:rFonts w:asciiTheme="minorHAnsi" w:hAnsiTheme="minorHAnsi" w:cstheme="minorHAnsi"/>
          <w:b/>
          <w:bCs/>
          <w:u w:val="single"/>
        </w:rPr>
        <w:t>4</w:t>
      </w:r>
      <w:r w:rsidRPr="00C12F2D">
        <w:rPr>
          <w:rFonts w:asciiTheme="minorHAnsi" w:hAnsiTheme="minorHAnsi" w:cstheme="minorHAnsi"/>
          <w:b/>
          <w:bCs/>
          <w:u w:val="single"/>
        </w:rPr>
        <w:t>.</w:t>
      </w:r>
      <w:r w:rsidRPr="00C12F2D">
        <w:rPr>
          <w:rFonts w:asciiTheme="minorHAnsi" w:hAnsiTheme="minorHAnsi" w:cstheme="minorHAnsi"/>
        </w:rPr>
        <w:t>  If your agency does not yet have a completed audit, please ensure that you have a signed engagement letter with an audit firm for that year, and are able to provide a detailed timeline for when the audit will be completed.  Incomplete audits for this fiscal year result in delays in both contracting and reimbursement, and must be completed as soon as possible in order for invoices to be reimbursed.</w:t>
      </w:r>
    </w:p>
    <w:p w14:paraId="24BF2ADA" w14:textId="77777777" w:rsidR="003D1DA8" w:rsidRPr="005570FC" w:rsidRDefault="003D1DA8" w:rsidP="003D1DA8">
      <w:pPr>
        <w:rPr>
          <w:rFonts w:asciiTheme="minorHAnsi" w:eastAsiaTheme="minorHAnsi" w:hAnsiTheme="minorHAnsi" w:cstheme="minorHAnsi"/>
          <w:b/>
          <w:bCs/>
        </w:rPr>
      </w:pPr>
    </w:p>
    <w:p w14:paraId="54DBA8C3" w14:textId="4E9DFF0D" w:rsidR="003D1DA8" w:rsidRPr="00C12F2D" w:rsidRDefault="003D1DA8" w:rsidP="00C12F2D">
      <w:pPr>
        <w:rPr>
          <w:rFonts w:asciiTheme="minorHAnsi" w:hAnsiTheme="minorHAnsi" w:cstheme="minorHAnsi"/>
        </w:rPr>
      </w:pPr>
      <w:r w:rsidRPr="00C12F2D">
        <w:rPr>
          <w:rFonts w:asciiTheme="minorHAnsi" w:hAnsiTheme="minorHAnsi" w:cstheme="minorHAnsi"/>
          <w:b/>
          <w:bCs/>
          <w:u w:val="single"/>
        </w:rPr>
        <w:t xml:space="preserve">Calendar Year </w:t>
      </w:r>
      <w:r w:rsidR="00426F7F">
        <w:rPr>
          <w:rFonts w:asciiTheme="minorHAnsi" w:hAnsiTheme="minorHAnsi" w:cstheme="minorHAnsi"/>
          <w:b/>
          <w:bCs/>
          <w:u w:val="single"/>
        </w:rPr>
        <w:t xml:space="preserve">2022 </w:t>
      </w:r>
      <w:r w:rsidRPr="00C12F2D">
        <w:rPr>
          <w:rFonts w:asciiTheme="minorHAnsi" w:hAnsiTheme="minorHAnsi" w:cstheme="minorHAnsi"/>
          <w:b/>
          <w:bCs/>
          <w:u w:val="single"/>
        </w:rPr>
        <w:t>Audits (1/1/2</w:t>
      </w:r>
      <w:r w:rsidR="00C45C91">
        <w:rPr>
          <w:rFonts w:asciiTheme="minorHAnsi" w:hAnsiTheme="minorHAnsi" w:cstheme="minorHAnsi"/>
          <w:b/>
          <w:bCs/>
          <w:u w:val="single"/>
        </w:rPr>
        <w:t xml:space="preserve">2 </w:t>
      </w:r>
      <w:r w:rsidRPr="00C12F2D">
        <w:rPr>
          <w:rFonts w:asciiTheme="minorHAnsi" w:hAnsiTheme="minorHAnsi" w:cstheme="minorHAnsi"/>
          <w:b/>
          <w:bCs/>
          <w:u w:val="single"/>
        </w:rPr>
        <w:t>-</w:t>
      </w:r>
      <w:r w:rsidR="00C45C91">
        <w:rPr>
          <w:rFonts w:asciiTheme="minorHAnsi" w:hAnsiTheme="minorHAnsi" w:cstheme="minorHAnsi"/>
          <w:b/>
          <w:bCs/>
          <w:u w:val="single"/>
        </w:rPr>
        <w:t xml:space="preserve"> </w:t>
      </w:r>
      <w:r w:rsidRPr="00C12F2D">
        <w:rPr>
          <w:rFonts w:asciiTheme="minorHAnsi" w:hAnsiTheme="minorHAnsi" w:cstheme="minorHAnsi"/>
          <w:b/>
          <w:bCs/>
          <w:u w:val="single"/>
        </w:rPr>
        <w:t>12/31/2</w:t>
      </w:r>
      <w:r w:rsidR="00C45C91">
        <w:rPr>
          <w:rFonts w:asciiTheme="minorHAnsi" w:hAnsiTheme="minorHAnsi" w:cstheme="minorHAnsi"/>
          <w:b/>
          <w:bCs/>
          <w:u w:val="single"/>
        </w:rPr>
        <w:t>2</w:t>
      </w:r>
      <w:r w:rsidRPr="00C12F2D">
        <w:rPr>
          <w:rFonts w:asciiTheme="minorHAnsi" w:hAnsiTheme="minorHAnsi" w:cstheme="minorHAnsi"/>
          <w:b/>
          <w:bCs/>
          <w:u w:val="single"/>
        </w:rPr>
        <w:t>) should have been completed by September 30, 202</w:t>
      </w:r>
      <w:r w:rsidR="00C45C91">
        <w:rPr>
          <w:rFonts w:asciiTheme="minorHAnsi" w:hAnsiTheme="minorHAnsi" w:cstheme="minorHAnsi"/>
          <w:b/>
          <w:bCs/>
          <w:u w:val="single"/>
        </w:rPr>
        <w:t>3</w:t>
      </w:r>
      <w:r w:rsidRPr="00C12F2D">
        <w:rPr>
          <w:rFonts w:asciiTheme="minorHAnsi" w:hAnsiTheme="minorHAnsi" w:cstheme="minorHAnsi"/>
          <w:b/>
          <w:bCs/>
          <w:u w:val="single"/>
        </w:rPr>
        <w:t>.</w:t>
      </w:r>
      <w:r w:rsidRPr="00C12F2D">
        <w:rPr>
          <w:rFonts w:asciiTheme="minorHAnsi" w:hAnsiTheme="minorHAnsi" w:cstheme="minorHAnsi"/>
        </w:rPr>
        <w:t>  Calendar Year 202</w:t>
      </w:r>
      <w:r w:rsidR="00426F7F">
        <w:rPr>
          <w:rFonts w:asciiTheme="minorHAnsi" w:hAnsiTheme="minorHAnsi" w:cstheme="minorHAnsi"/>
        </w:rPr>
        <w:t>3</w:t>
      </w:r>
      <w:r w:rsidRPr="00C12F2D">
        <w:rPr>
          <w:rFonts w:asciiTheme="minorHAnsi" w:hAnsiTheme="minorHAnsi" w:cstheme="minorHAnsi"/>
        </w:rPr>
        <w:t xml:space="preserve"> (1/1/2</w:t>
      </w:r>
      <w:r w:rsidR="00C45C91">
        <w:rPr>
          <w:rFonts w:asciiTheme="minorHAnsi" w:hAnsiTheme="minorHAnsi" w:cstheme="minorHAnsi"/>
        </w:rPr>
        <w:t>3</w:t>
      </w:r>
      <w:r w:rsidRPr="00C12F2D">
        <w:rPr>
          <w:rFonts w:asciiTheme="minorHAnsi" w:hAnsiTheme="minorHAnsi" w:cstheme="minorHAnsi"/>
        </w:rPr>
        <w:t xml:space="preserve"> – 12/31/2</w:t>
      </w:r>
      <w:r w:rsidR="00C45C91">
        <w:rPr>
          <w:rFonts w:asciiTheme="minorHAnsi" w:hAnsiTheme="minorHAnsi" w:cstheme="minorHAnsi"/>
        </w:rPr>
        <w:t>3</w:t>
      </w:r>
      <w:r w:rsidRPr="00C12F2D">
        <w:rPr>
          <w:rFonts w:asciiTheme="minorHAnsi" w:hAnsiTheme="minorHAnsi" w:cstheme="minorHAnsi"/>
        </w:rPr>
        <w:t>) audits should be completed by September 30, 202</w:t>
      </w:r>
      <w:r w:rsidR="00C45C91">
        <w:rPr>
          <w:rFonts w:asciiTheme="minorHAnsi" w:hAnsiTheme="minorHAnsi" w:cstheme="minorHAnsi"/>
        </w:rPr>
        <w:t>4</w:t>
      </w:r>
      <w:r w:rsidRPr="00C12F2D">
        <w:rPr>
          <w:rFonts w:asciiTheme="minorHAnsi" w:hAnsiTheme="minorHAnsi" w:cstheme="minorHAnsi"/>
        </w:rPr>
        <w:t>.   The same standards apply as above regarding incomplete or delayed audits.</w:t>
      </w:r>
    </w:p>
    <w:p w14:paraId="0BFC58D8" w14:textId="77777777" w:rsidR="006522B8" w:rsidRDefault="006522B8" w:rsidP="005D3FDE"/>
    <w:p w14:paraId="066099BA" w14:textId="77777777" w:rsidR="005D3FDE" w:rsidRPr="006F6651" w:rsidRDefault="006522B8" w:rsidP="005D3FDE">
      <w:r>
        <w:br w:type="page"/>
      </w:r>
    </w:p>
    <w:p w14:paraId="42F638C1" w14:textId="77777777" w:rsidR="003553DB" w:rsidRPr="006F6651" w:rsidRDefault="003553DB" w:rsidP="00A246CB">
      <w:pPr>
        <w:pStyle w:val="Heading1"/>
        <w:jc w:val="center"/>
        <w:rPr>
          <w:rFonts w:ascii="Times New Roman" w:hAnsi="Times New Roman"/>
        </w:rPr>
      </w:pPr>
      <w:r w:rsidRPr="006F6651">
        <w:rPr>
          <w:rFonts w:ascii="Times New Roman" w:hAnsi="Times New Roman"/>
        </w:rPr>
        <w:lastRenderedPageBreak/>
        <w:t>CHAPTER III.  INTERNAL CONTROLS FOR ACCOUNTING</w:t>
      </w:r>
    </w:p>
    <w:p w14:paraId="7AEC2930" w14:textId="77777777" w:rsidR="003553DB" w:rsidRPr="006F6651" w:rsidRDefault="003553DB" w:rsidP="00A246CB">
      <w:pPr>
        <w:pStyle w:val="Heading1"/>
        <w:spacing w:before="0" w:after="0"/>
        <w:jc w:val="center"/>
        <w:rPr>
          <w:rFonts w:ascii="Times New Roman" w:hAnsi="Times New Roman"/>
        </w:rPr>
      </w:pPr>
      <w:r w:rsidRPr="006F6651">
        <w:rPr>
          <w:rFonts w:ascii="Times New Roman" w:hAnsi="Times New Roman"/>
        </w:rPr>
        <w:t>AND RECORD KEEPING</w:t>
      </w:r>
    </w:p>
    <w:p w14:paraId="50F517EA" w14:textId="77777777" w:rsidR="003553DB" w:rsidRPr="006F6651" w:rsidRDefault="003553DB" w:rsidP="00583092">
      <w:pPr>
        <w:rPr>
          <w:b/>
          <w:bCs/>
        </w:rPr>
      </w:pPr>
    </w:p>
    <w:p w14:paraId="65A3410D" w14:textId="77777777" w:rsidR="003553DB" w:rsidRPr="00F862A2" w:rsidRDefault="00C511BA" w:rsidP="00583092">
      <w:pPr>
        <w:pStyle w:val="Heading4"/>
        <w:spacing w:before="0" w:after="0"/>
        <w:rPr>
          <w:rFonts w:ascii="Times New Roman" w:hAnsi="Times New Roman"/>
          <w:bCs/>
          <w:u w:val="single"/>
        </w:rPr>
      </w:pPr>
      <w:r w:rsidRPr="00F862A2">
        <w:rPr>
          <w:rFonts w:ascii="Times New Roman" w:hAnsi="Times New Roman"/>
          <w:bCs/>
          <w:u w:val="single"/>
        </w:rPr>
        <w:t>A.  CLIENT/PROGRAM &amp; FINANCIAL RECORDS</w:t>
      </w:r>
    </w:p>
    <w:p w14:paraId="43036FC8" w14:textId="77777777" w:rsidR="003553DB" w:rsidRPr="006F6651" w:rsidRDefault="003553DB" w:rsidP="00583092"/>
    <w:p w14:paraId="75E4203F" w14:textId="2832A2D0" w:rsidR="003553DB" w:rsidRPr="006F6651" w:rsidRDefault="00BD3D72" w:rsidP="00583092">
      <w:r w:rsidRPr="006F6651">
        <w:t>MOHCD</w:t>
      </w:r>
      <w:r w:rsidR="003553DB" w:rsidRPr="006F6651">
        <w:t xml:space="preserve"> </w:t>
      </w:r>
      <w:r w:rsidR="006522B8">
        <w:t>is</w:t>
      </w:r>
      <w:r w:rsidR="003553DB" w:rsidRPr="006F6651">
        <w:t xml:space="preserve"> responsible for assessing the grantee</w:t>
      </w:r>
      <w:r w:rsidR="006522B8">
        <w:t>’</w:t>
      </w:r>
      <w:r w:rsidR="003553DB" w:rsidRPr="006F6651">
        <w:t xml:space="preserve">s </w:t>
      </w:r>
      <w:r w:rsidR="006522B8">
        <w:t xml:space="preserve">compliance with programmatic requirements, along with the </w:t>
      </w:r>
      <w:r w:rsidR="00542AC7">
        <w:t>f</w:t>
      </w:r>
      <w:r w:rsidR="006522B8">
        <w:t xml:space="preserve">iscal and </w:t>
      </w:r>
      <w:r w:rsidR="00542AC7">
        <w:t>c</w:t>
      </w:r>
      <w:r w:rsidR="006522B8">
        <w:t xml:space="preserve">ompliance requirements of the </w:t>
      </w:r>
      <w:r w:rsidR="00542AC7">
        <w:t>C</w:t>
      </w:r>
      <w:r w:rsidR="006522B8">
        <w:t xml:space="preserve">ity and any federal funding sources, and </w:t>
      </w:r>
      <w:r w:rsidR="003553DB" w:rsidRPr="006F6651">
        <w:t>will take appropriate action if compliance issues emerge.</w:t>
      </w:r>
    </w:p>
    <w:p w14:paraId="4BB613DC" w14:textId="77777777" w:rsidR="003553DB" w:rsidRPr="006F6651" w:rsidRDefault="003553DB" w:rsidP="00583092"/>
    <w:p w14:paraId="2324CC3F" w14:textId="7512EFC0" w:rsidR="003553DB" w:rsidRPr="006F6651" w:rsidRDefault="003553DB" w:rsidP="00583092">
      <w:r w:rsidRPr="006F6651">
        <w:t>All pro</w:t>
      </w:r>
      <w:r w:rsidR="00C117F6">
        <w:t>ject</w:t>
      </w:r>
      <w:r w:rsidR="00B81B1B">
        <w:t xml:space="preserve">, </w:t>
      </w:r>
      <w:r w:rsidR="00C117F6">
        <w:t>client</w:t>
      </w:r>
      <w:r w:rsidR="00B81B1B">
        <w:t>, and financial</w:t>
      </w:r>
      <w:r w:rsidRPr="006F6651">
        <w:t xml:space="preserve"> records must be kept for </w:t>
      </w:r>
      <w:r w:rsidR="00B81B1B">
        <w:t>seven</w:t>
      </w:r>
      <w:r w:rsidRPr="006F6651">
        <w:t xml:space="preserve"> years from the close out date of the contract; the most recent two years of records must be kept on</w:t>
      </w:r>
      <w:r w:rsidR="00542AC7">
        <w:t>-</w:t>
      </w:r>
      <w:r w:rsidRPr="006F6651">
        <w:t>site.</w:t>
      </w:r>
    </w:p>
    <w:p w14:paraId="55BC40E3" w14:textId="77777777" w:rsidR="003553DB" w:rsidRPr="006F6651" w:rsidRDefault="003553DB" w:rsidP="00583092"/>
    <w:p w14:paraId="3212208E" w14:textId="77777777" w:rsidR="003553DB" w:rsidRPr="00F862A2" w:rsidRDefault="00C511BA" w:rsidP="00583092">
      <w:pPr>
        <w:pStyle w:val="Heading4"/>
        <w:spacing w:before="0" w:after="0"/>
        <w:rPr>
          <w:rFonts w:ascii="Times New Roman" w:hAnsi="Times New Roman"/>
          <w:bCs/>
          <w:u w:val="single"/>
        </w:rPr>
      </w:pPr>
      <w:r w:rsidRPr="00F862A2">
        <w:rPr>
          <w:rFonts w:ascii="Times New Roman" w:hAnsi="Times New Roman"/>
          <w:bCs/>
          <w:u w:val="single"/>
        </w:rPr>
        <w:t>B.  CLIENT/PROJECT RECORDS OVERVIEW</w:t>
      </w:r>
    </w:p>
    <w:p w14:paraId="7C77A420" w14:textId="77777777" w:rsidR="003553DB" w:rsidRPr="00335DC0" w:rsidRDefault="003553DB" w:rsidP="00583092"/>
    <w:p w14:paraId="14E056D7" w14:textId="77777777" w:rsidR="003553DB" w:rsidRPr="00335DC0" w:rsidRDefault="003553DB" w:rsidP="00583092">
      <w:r w:rsidRPr="00335DC0">
        <w:t>The grantee is required to maintain verifiable records on clients and client services.  Hard copies must be available to support reliable internal controls over client records:</w:t>
      </w:r>
    </w:p>
    <w:p w14:paraId="7D702947" w14:textId="77777777" w:rsidR="003553DB" w:rsidRPr="00335DC0" w:rsidRDefault="003553DB" w:rsidP="00583092"/>
    <w:p w14:paraId="52EC8B51" w14:textId="5252E2AB" w:rsidR="003553DB" w:rsidRPr="00335DC0" w:rsidRDefault="003553DB" w:rsidP="00583092">
      <w:pPr>
        <w:numPr>
          <w:ilvl w:val="0"/>
          <w:numId w:val="1"/>
        </w:numPr>
      </w:pPr>
      <w:r w:rsidRPr="00335DC0">
        <w:t xml:space="preserve">Documentation </w:t>
      </w:r>
      <w:r w:rsidR="00C117F6" w:rsidRPr="00335DC0">
        <w:t xml:space="preserve">of </w:t>
      </w:r>
      <w:r w:rsidRPr="00335DC0">
        <w:t>client eligibility (i.e.</w:t>
      </w:r>
      <w:r w:rsidR="00542AC7">
        <w:t>,</w:t>
      </w:r>
      <w:r w:rsidRPr="00335DC0">
        <w:t xml:space="preserve"> Fam</w:t>
      </w:r>
      <w:r w:rsidR="00921AB3" w:rsidRPr="00335DC0">
        <w:t>ily Income Verification Form</w:t>
      </w:r>
      <w:r w:rsidR="00C117F6" w:rsidRPr="00335DC0">
        <w:t xml:space="preserve">, HMIS information for ESG grants, </w:t>
      </w:r>
      <w:r w:rsidR="00921AB3" w:rsidRPr="00335DC0">
        <w:t xml:space="preserve">or </w:t>
      </w:r>
      <w:r w:rsidR="00C117F6" w:rsidRPr="00335DC0">
        <w:t xml:space="preserve">any other requirements </w:t>
      </w:r>
      <w:r w:rsidR="00921AB3" w:rsidRPr="00335DC0">
        <w:t>per fund source requirements</w:t>
      </w:r>
      <w:r w:rsidR="004A4E2A" w:rsidRPr="00335DC0">
        <w:t>)</w:t>
      </w:r>
      <w:r w:rsidR="00542AC7">
        <w:t>;</w:t>
      </w:r>
    </w:p>
    <w:p w14:paraId="57A98C73" w14:textId="77777777" w:rsidR="003553DB" w:rsidRPr="00335DC0" w:rsidRDefault="003553DB" w:rsidP="00583092">
      <w:pPr>
        <w:numPr>
          <w:ilvl w:val="0"/>
          <w:numId w:val="1"/>
        </w:numPr>
      </w:pPr>
      <w:r w:rsidRPr="00335DC0">
        <w:t>Evidence of client/staff signatures and accuracy on eligibility documents;</w:t>
      </w:r>
    </w:p>
    <w:p w14:paraId="1E7DF271" w14:textId="77777777" w:rsidR="003553DB" w:rsidRPr="00335DC0" w:rsidRDefault="003553DB" w:rsidP="00583092">
      <w:pPr>
        <w:numPr>
          <w:ilvl w:val="0"/>
          <w:numId w:val="1"/>
        </w:numPr>
      </w:pPr>
      <w:r w:rsidRPr="00335DC0">
        <w:t>Evidence of parent/guardian signatures if client is a minor; or, if confidentiality concerns apply, best efforts by agency staff to verify eligibility;</w:t>
      </w:r>
    </w:p>
    <w:p w14:paraId="60CAAAA5" w14:textId="77777777" w:rsidR="003553DB" w:rsidRPr="00335DC0" w:rsidRDefault="003553DB" w:rsidP="00583092">
      <w:pPr>
        <w:numPr>
          <w:ilvl w:val="0"/>
          <w:numId w:val="1"/>
        </w:numPr>
      </w:pPr>
      <w:r w:rsidRPr="00335DC0">
        <w:t>Evidence that clients from previous program years have family income recertified during each grant year;</w:t>
      </w:r>
    </w:p>
    <w:p w14:paraId="5A0174B9" w14:textId="77777777" w:rsidR="003553DB" w:rsidRPr="00335DC0" w:rsidRDefault="003553DB" w:rsidP="00583092">
      <w:pPr>
        <w:numPr>
          <w:ilvl w:val="0"/>
          <w:numId w:val="1"/>
        </w:numPr>
      </w:pPr>
      <w:r w:rsidRPr="00335DC0">
        <w:t>Evidence that family income reflects annual estimated income;</w:t>
      </w:r>
    </w:p>
    <w:p w14:paraId="04E7D5EC" w14:textId="50CE8C8B" w:rsidR="003553DB" w:rsidRPr="00335DC0" w:rsidRDefault="003553DB" w:rsidP="00583092">
      <w:pPr>
        <w:numPr>
          <w:ilvl w:val="0"/>
          <w:numId w:val="1"/>
        </w:numPr>
      </w:pPr>
      <w:r w:rsidRPr="00335DC0">
        <w:t>Evidence that best efforts were utilized by staff to obtain income</w:t>
      </w:r>
      <w:r w:rsidR="00126D8F">
        <w:t xml:space="preserve"> </w:t>
      </w:r>
      <w:r w:rsidRPr="00335DC0">
        <w:t>verification;</w:t>
      </w:r>
    </w:p>
    <w:p w14:paraId="4D0663C0" w14:textId="77777777" w:rsidR="003553DB" w:rsidRPr="00335DC0" w:rsidRDefault="003553DB" w:rsidP="00583092">
      <w:pPr>
        <w:numPr>
          <w:ilvl w:val="0"/>
          <w:numId w:val="1"/>
        </w:numPr>
      </w:pPr>
      <w:r w:rsidRPr="00335DC0">
        <w:t>Evidence that staff understands that unemployed individuals should report their estimated annual income, or use their previous annual income as a guide;</w:t>
      </w:r>
    </w:p>
    <w:p w14:paraId="092D8C41" w14:textId="1EF282D8" w:rsidR="003553DB" w:rsidRPr="00335DC0" w:rsidRDefault="003553DB" w:rsidP="00583092">
      <w:pPr>
        <w:numPr>
          <w:ilvl w:val="0"/>
          <w:numId w:val="1"/>
        </w:numPr>
      </w:pPr>
      <w:r w:rsidRPr="00335DC0">
        <w:t xml:space="preserve">Evidence that </w:t>
      </w:r>
      <w:r w:rsidR="00126D8F">
        <w:t xml:space="preserve">the </w:t>
      </w:r>
      <w:r w:rsidRPr="00335DC0">
        <w:t>family income verification form is internally consistent</w:t>
      </w:r>
      <w:r w:rsidR="00126D8F">
        <w:t xml:space="preserve"> (</w:t>
      </w:r>
      <w:r w:rsidRPr="00335DC0">
        <w:t>e.g.</w:t>
      </w:r>
      <w:r w:rsidR="00126D8F">
        <w:t>,</w:t>
      </w:r>
      <w:r w:rsidRPr="00335DC0">
        <w:t xml:space="preserve"> family size is consistent in separate sections of </w:t>
      </w:r>
      <w:r w:rsidR="00126D8F">
        <w:t xml:space="preserve">the </w:t>
      </w:r>
      <w:r w:rsidRPr="00335DC0">
        <w:t>document</w:t>
      </w:r>
      <w:r w:rsidR="00126D8F">
        <w:t>)</w:t>
      </w:r>
      <w:r w:rsidRPr="00335DC0">
        <w:t>;</w:t>
      </w:r>
    </w:p>
    <w:p w14:paraId="336A4260" w14:textId="5E4F552D" w:rsidR="003553DB" w:rsidRPr="00335DC0" w:rsidRDefault="003553DB" w:rsidP="00583092">
      <w:pPr>
        <w:numPr>
          <w:ilvl w:val="0"/>
          <w:numId w:val="1"/>
        </w:numPr>
      </w:pPr>
      <w:r w:rsidRPr="00335DC0">
        <w:t xml:space="preserve">Access to eligibility/sensitive records </w:t>
      </w:r>
      <w:r w:rsidR="00126D8F">
        <w:t xml:space="preserve">is </w:t>
      </w:r>
      <w:r w:rsidRPr="00335DC0">
        <w:t>limited to appropriate persons;</w:t>
      </w:r>
    </w:p>
    <w:p w14:paraId="0E812F86" w14:textId="7B7B69D0" w:rsidR="003553DB" w:rsidRPr="00335DC0" w:rsidRDefault="003553DB" w:rsidP="00583092">
      <w:pPr>
        <w:numPr>
          <w:ilvl w:val="0"/>
          <w:numId w:val="1"/>
        </w:numPr>
      </w:pPr>
      <w:r w:rsidRPr="00335DC0">
        <w:t>Evidence of participation by eligible clients (i.e., attendance sheet, sign-in log);</w:t>
      </w:r>
      <w:r w:rsidR="00126D8F">
        <w:t xml:space="preserve"> and</w:t>
      </w:r>
    </w:p>
    <w:p w14:paraId="0D08E892" w14:textId="589263D8" w:rsidR="003553DB" w:rsidRPr="00335DC0" w:rsidRDefault="003553DB" w:rsidP="00583092">
      <w:pPr>
        <w:numPr>
          <w:ilvl w:val="0"/>
          <w:numId w:val="1"/>
        </w:numPr>
      </w:pPr>
      <w:r w:rsidRPr="00335DC0">
        <w:t>Evidence of progress or success of participants meeting program activities or outcomes (e.g.</w:t>
      </w:r>
      <w:r w:rsidR="00126D8F">
        <w:t>,</w:t>
      </w:r>
      <w:r w:rsidRPr="00335DC0">
        <w:t xml:space="preserve"> tracking forms and client progress reports)</w:t>
      </w:r>
      <w:r w:rsidR="00126D8F">
        <w:t>.</w:t>
      </w:r>
    </w:p>
    <w:p w14:paraId="29CEE80E" w14:textId="77777777" w:rsidR="003553DB" w:rsidRPr="006F6651" w:rsidRDefault="003553DB" w:rsidP="00583092"/>
    <w:p w14:paraId="01A931B7" w14:textId="77777777" w:rsidR="005D3FDE" w:rsidRPr="00F862A2" w:rsidRDefault="00C511BA" w:rsidP="005D3FDE">
      <w:pPr>
        <w:pStyle w:val="Heading4"/>
        <w:spacing w:before="0" w:after="0"/>
        <w:rPr>
          <w:rFonts w:ascii="Times New Roman" w:hAnsi="Times New Roman"/>
          <w:u w:val="single"/>
        </w:rPr>
      </w:pPr>
      <w:r w:rsidRPr="00F862A2">
        <w:rPr>
          <w:rFonts w:ascii="Times New Roman" w:hAnsi="Times New Roman"/>
          <w:u w:val="single"/>
        </w:rPr>
        <w:t>C.  FINANCIAL RECORDS OVERVIEW</w:t>
      </w:r>
    </w:p>
    <w:p w14:paraId="52E4D7AD" w14:textId="77777777" w:rsidR="005D3FDE" w:rsidRPr="006F6651" w:rsidRDefault="005D3FDE" w:rsidP="005D3FDE">
      <w:pPr>
        <w:ind w:left="720" w:hanging="720"/>
        <w:rPr>
          <w:b/>
        </w:rPr>
      </w:pPr>
    </w:p>
    <w:p w14:paraId="3032E968" w14:textId="3528C99C" w:rsidR="005D3FDE" w:rsidRPr="006F6651" w:rsidRDefault="005D3FDE" w:rsidP="005D3FDE">
      <w:r w:rsidRPr="006F6651">
        <w:t>MOHCD funded organizations shall maintain internal controls on financial records, cash disbursements, cash receipts, payroll, and inventory of assets.  At a minimum, organizations are required to maintain a General Ledger, a system for maintaining information on unpaid bills (Accounts Payable), a Cash Disbursement Journal and authorized signatures or level</w:t>
      </w:r>
      <w:r w:rsidR="009F1188">
        <w:t>s</w:t>
      </w:r>
      <w:r w:rsidRPr="006F6651">
        <w:t xml:space="preserve"> of access. When requested, organizations are required to provide current information on all accounting transactions in a standardized acceptable format.  Transactions must be properly recorded and accounted for.  </w:t>
      </w:r>
    </w:p>
    <w:p w14:paraId="2C310CC1" w14:textId="77777777" w:rsidR="005D3FDE" w:rsidRPr="006F6651" w:rsidRDefault="005D3FDE" w:rsidP="005D3FDE">
      <w:pPr>
        <w:ind w:left="720" w:hanging="720"/>
      </w:pPr>
    </w:p>
    <w:p w14:paraId="70C31703" w14:textId="77777777" w:rsidR="005D3FDE" w:rsidRPr="006F6651" w:rsidRDefault="005D3FDE" w:rsidP="005D3FDE">
      <w:pPr>
        <w:numPr>
          <w:ilvl w:val="0"/>
          <w:numId w:val="2"/>
        </w:numPr>
      </w:pPr>
      <w:r w:rsidRPr="006F6651">
        <w:lastRenderedPageBreak/>
        <w:t>Accounting records must be accurate, current, and provide for complete disclosure of each project or program;</w:t>
      </w:r>
    </w:p>
    <w:p w14:paraId="0756B233" w14:textId="77777777" w:rsidR="005D3FDE" w:rsidRPr="006F6651" w:rsidRDefault="005D3FDE" w:rsidP="005D3FDE">
      <w:pPr>
        <w:numPr>
          <w:ilvl w:val="0"/>
          <w:numId w:val="2"/>
        </w:numPr>
      </w:pPr>
      <w:r w:rsidRPr="006F6651">
        <w:t>Monthly financial reports must be prepared on a timely basis;</w:t>
      </w:r>
    </w:p>
    <w:p w14:paraId="23FEF56B" w14:textId="77777777" w:rsidR="005D3FDE" w:rsidRPr="006F6651" w:rsidRDefault="005D3FDE" w:rsidP="005D3FDE">
      <w:pPr>
        <w:numPr>
          <w:ilvl w:val="0"/>
          <w:numId w:val="2"/>
        </w:numPr>
      </w:pPr>
      <w:r w:rsidRPr="006F6651">
        <w:t>Financial reports must be made available to the Executive Director and to the Board of Directors on a regular basis;</w:t>
      </w:r>
    </w:p>
    <w:p w14:paraId="0719C7C4" w14:textId="77777777" w:rsidR="005D3FDE" w:rsidRPr="006F6651" w:rsidRDefault="005D3FDE" w:rsidP="005D3FDE">
      <w:pPr>
        <w:numPr>
          <w:ilvl w:val="0"/>
          <w:numId w:val="2"/>
        </w:numPr>
      </w:pPr>
      <w:r w:rsidRPr="006F6651">
        <w:t>Funds, property and other assets are safeguarded against loss from unauthorized use or disposition;</w:t>
      </w:r>
    </w:p>
    <w:p w14:paraId="03115F08" w14:textId="25F10C15" w:rsidR="005D3FDE" w:rsidRPr="006F6651" w:rsidRDefault="005D3FDE" w:rsidP="005D3FDE">
      <w:pPr>
        <w:numPr>
          <w:ilvl w:val="0"/>
          <w:numId w:val="2"/>
        </w:numPr>
      </w:pPr>
      <w:r w:rsidRPr="006F6651">
        <w:t xml:space="preserve">Agencies </w:t>
      </w:r>
      <w:r w:rsidR="00EE0E1F">
        <w:t xml:space="preserve">must </w:t>
      </w:r>
      <w:r w:rsidRPr="006F6651">
        <w:t>demonstrate compliance with all appropriate federal, state and local regulations and compliance supplements; and</w:t>
      </w:r>
    </w:p>
    <w:p w14:paraId="4C776B8E" w14:textId="7E74BAFC" w:rsidR="005D3FDE" w:rsidRPr="006F6651" w:rsidRDefault="005D3FDE" w:rsidP="005D3FDE">
      <w:pPr>
        <w:numPr>
          <w:ilvl w:val="0"/>
          <w:numId w:val="2"/>
        </w:numPr>
      </w:pPr>
      <w:r w:rsidRPr="006F6651">
        <w:t>Appropriate federal, state and local information returns</w:t>
      </w:r>
      <w:r w:rsidR="00EE0E1F">
        <w:t>,</w:t>
      </w:r>
      <w:r w:rsidRPr="006F6651">
        <w:t xml:space="preserve"> including taxes and audits</w:t>
      </w:r>
      <w:r w:rsidR="00EE0E1F">
        <w:t>,</w:t>
      </w:r>
      <w:r w:rsidRPr="006F6651">
        <w:t xml:space="preserve"> must be submitted on time.</w:t>
      </w:r>
    </w:p>
    <w:p w14:paraId="1C660287" w14:textId="77777777" w:rsidR="005D3FDE" w:rsidRPr="006F6651" w:rsidRDefault="005D3FDE" w:rsidP="005D3FDE">
      <w:pPr>
        <w:rPr>
          <w:b/>
        </w:rPr>
      </w:pPr>
    </w:p>
    <w:p w14:paraId="107BBAA8" w14:textId="77777777" w:rsidR="005D3FDE" w:rsidRPr="00F862A2" w:rsidRDefault="00C511BA" w:rsidP="005D3FDE">
      <w:pPr>
        <w:pStyle w:val="Heading4"/>
        <w:spacing w:before="0" w:after="0"/>
        <w:rPr>
          <w:rFonts w:ascii="Times New Roman" w:hAnsi="Times New Roman"/>
          <w:u w:val="single"/>
        </w:rPr>
      </w:pPr>
      <w:r w:rsidRPr="00F862A2">
        <w:rPr>
          <w:rFonts w:ascii="Times New Roman" w:hAnsi="Times New Roman"/>
          <w:u w:val="single"/>
        </w:rPr>
        <w:t xml:space="preserve">D.  </w:t>
      </w:r>
      <w:r w:rsidRPr="00F862A2">
        <w:rPr>
          <w:rFonts w:ascii="Times New Roman" w:hAnsi="Times New Roman"/>
          <w:u w:val="single"/>
        </w:rPr>
        <w:tab/>
        <w:t>CASH DISBURSEMENTS</w:t>
      </w:r>
    </w:p>
    <w:p w14:paraId="75B468B0" w14:textId="77777777" w:rsidR="005D3FDE" w:rsidRPr="006F6651" w:rsidRDefault="005D3FDE" w:rsidP="005D3FDE"/>
    <w:p w14:paraId="252127D8" w14:textId="4247AF44" w:rsidR="005D3FDE" w:rsidRPr="006F6651" w:rsidRDefault="005D3FDE" w:rsidP="005D3FDE">
      <w:r w:rsidRPr="006F6651">
        <w:t xml:space="preserve">A Cash Disbursement Journal must provide the following detail: date of check, check number, payee, amount of check, </w:t>
      </w:r>
      <w:r w:rsidR="006C66E4">
        <w:t>and</w:t>
      </w:r>
      <w:r w:rsidRPr="006F6651">
        <w:t xml:space="preserve"> description of the expense account to be charged.   Organization internal controls on Cash Reimbursements must include the following standards:</w:t>
      </w:r>
    </w:p>
    <w:p w14:paraId="04023F59" w14:textId="77777777" w:rsidR="005D3FDE" w:rsidRPr="006F6651" w:rsidRDefault="005D3FDE" w:rsidP="005D3FDE"/>
    <w:p w14:paraId="6544DD72" w14:textId="77777777" w:rsidR="005D3FDE" w:rsidRPr="006F6651" w:rsidRDefault="005D3FDE" w:rsidP="005D3FDE">
      <w:pPr>
        <w:numPr>
          <w:ilvl w:val="0"/>
          <w:numId w:val="3"/>
        </w:numPr>
      </w:pPr>
      <w:r w:rsidRPr="006F6651">
        <w:t>Disbursements are made by pre-numbered checks;</w:t>
      </w:r>
    </w:p>
    <w:p w14:paraId="1DF04D63" w14:textId="77777777" w:rsidR="005D3FDE" w:rsidRPr="006F6651" w:rsidRDefault="005D3FDE" w:rsidP="005D3FDE">
      <w:pPr>
        <w:numPr>
          <w:ilvl w:val="0"/>
          <w:numId w:val="3"/>
        </w:numPr>
      </w:pPr>
      <w:r w:rsidRPr="006F6651">
        <w:t>Voided checks are retained;</w:t>
      </w:r>
    </w:p>
    <w:p w14:paraId="26D582D1" w14:textId="77777777" w:rsidR="005D3FDE" w:rsidRPr="006F6651" w:rsidRDefault="005D3FDE" w:rsidP="005D3FDE">
      <w:pPr>
        <w:numPr>
          <w:ilvl w:val="0"/>
          <w:numId w:val="3"/>
        </w:numPr>
      </w:pPr>
      <w:r w:rsidRPr="006F6651">
        <w:t>Checks made payable to “Cash” are prohibited;</w:t>
      </w:r>
    </w:p>
    <w:p w14:paraId="68085A13" w14:textId="77777777" w:rsidR="005D3FDE" w:rsidRPr="006F6651" w:rsidRDefault="005D3FDE" w:rsidP="005D3FDE">
      <w:pPr>
        <w:numPr>
          <w:ilvl w:val="0"/>
          <w:numId w:val="3"/>
        </w:numPr>
      </w:pPr>
      <w:r w:rsidRPr="006F6651">
        <w:t>Pre-signed checks are prohibited;</w:t>
      </w:r>
    </w:p>
    <w:p w14:paraId="2374760D" w14:textId="300FCB01" w:rsidR="005D3FDE" w:rsidRPr="006F6651" w:rsidRDefault="005D3FDE" w:rsidP="005D3FDE">
      <w:pPr>
        <w:numPr>
          <w:ilvl w:val="0"/>
          <w:numId w:val="3"/>
        </w:numPr>
      </w:pPr>
      <w:r w:rsidRPr="006F6651">
        <w:t xml:space="preserve">Check signing authority must be vested in persons at appropriately high levels in the organization; signatures on checking accounts must include the agency </w:t>
      </w:r>
      <w:r w:rsidR="0004595C">
        <w:t xml:space="preserve">Executive </w:t>
      </w:r>
      <w:r w:rsidRPr="006F6651">
        <w:t>Director or Fiscal Manager AND one officer of the Board of Directors on payments over an amount agreed to be significant</w:t>
      </w:r>
      <w:r w:rsidR="0004595C">
        <w:t>; and</w:t>
      </w:r>
      <w:r w:rsidRPr="006F6651">
        <w:t xml:space="preserve"> the Board of Directors may designate an alternate signatory through written notification. </w:t>
      </w:r>
    </w:p>
    <w:p w14:paraId="45E1A0D2" w14:textId="77777777" w:rsidR="005D3FDE" w:rsidRPr="006F6651" w:rsidRDefault="005D3FDE" w:rsidP="005D3FDE">
      <w:pPr>
        <w:numPr>
          <w:ilvl w:val="0"/>
          <w:numId w:val="3"/>
        </w:numPr>
      </w:pPr>
      <w:r w:rsidRPr="006F6651">
        <w:t>Bank statements and canceled checks are received and reconciled by someone independent of the authorization and check-signing function; and</w:t>
      </w:r>
    </w:p>
    <w:p w14:paraId="7BE378CB" w14:textId="77777777" w:rsidR="005D3FDE" w:rsidRPr="006F6651" w:rsidRDefault="005D3FDE" w:rsidP="005D3FDE">
      <w:pPr>
        <w:numPr>
          <w:ilvl w:val="0"/>
          <w:numId w:val="3"/>
        </w:numPr>
      </w:pPr>
      <w:r w:rsidRPr="006F6651">
        <w:t>Paid invoices are marked “</w:t>
      </w:r>
      <w:r w:rsidRPr="006F6651">
        <w:rPr>
          <w:i/>
        </w:rPr>
        <w:t>Paid</w:t>
      </w:r>
      <w:r w:rsidRPr="006F6651">
        <w:t>” with the date, number and amount of check.</w:t>
      </w:r>
    </w:p>
    <w:p w14:paraId="609E0226" w14:textId="77777777" w:rsidR="005D3FDE" w:rsidRPr="006F6651" w:rsidRDefault="005D3FDE" w:rsidP="005D3FDE">
      <w:pPr>
        <w:ind w:left="720"/>
      </w:pPr>
    </w:p>
    <w:p w14:paraId="28C55621" w14:textId="77777777" w:rsidR="005D3FDE" w:rsidRPr="00F862A2" w:rsidRDefault="00C511BA" w:rsidP="005D3FDE">
      <w:pPr>
        <w:pStyle w:val="Heading4"/>
        <w:spacing w:before="0" w:after="0"/>
        <w:rPr>
          <w:rFonts w:ascii="Times New Roman" w:hAnsi="Times New Roman"/>
          <w:u w:val="single"/>
        </w:rPr>
      </w:pPr>
      <w:r w:rsidRPr="00F862A2">
        <w:rPr>
          <w:rFonts w:ascii="Times New Roman" w:hAnsi="Times New Roman"/>
          <w:u w:val="single"/>
        </w:rPr>
        <w:t xml:space="preserve">E.  </w:t>
      </w:r>
      <w:r w:rsidRPr="00F862A2">
        <w:rPr>
          <w:rFonts w:ascii="Times New Roman" w:hAnsi="Times New Roman"/>
          <w:u w:val="single"/>
        </w:rPr>
        <w:tab/>
        <w:t>ACCOUNTS PAYABLE</w:t>
      </w:r>
    </w:p>
    <w:p w14:paraId="3586002A" w14:textId="77777777" w:rsidR="005D3FDE" w:rsidRPr="006F6651" w:rsidRDefault="005D3FDE" w:rsidP="005D3FDE"/>
    <w:p w14:paraId="70C10C5E" w14:textId="77777777" w:rsidR="005D3FDE" w:rsidRPr="006F6651" w:rsidRDefault="005D3FDE" w:rsidP="005D3FDE">
      <w:r w:rsidRPr="006F6651">
        <w:t>Organization internal controls on Accounts Payable must include the following standards:</w:t>
      </w:r>
    </w:p>
    <w:p w14:paraId="39046C6F" w14:textId="77777777" w:rsidR="005D3FDE" w:rsidRPr="006F6651" w:rsidRDefault="005D3FDE" w:rsidP="005D3FDE"/>
    <w:p w14:paraId="79C0A295" w14:textId="68EBB802" w:rsidR="005D3FDE" w:rsidRPr="006F6651" w:rsidRDefault="005D3FDE" w:rsidP="005D3FDE">
      <w:pPr>
        <w:numPr>
          <w:ilvl w:val="0"/>
          <w:numId w:val="6"/>
        </w:numPr>
      </w:pPr>
      <w:r w:rsidRPr="006F6651">
        <w:t>Payments are recorded in an accounts payable register to avoid duplicate payments</w:t>
      </w:r>
      <w:r w:rsidR="0004595C">
        <w:t>; and</w:t>
      </w:r>
    </w:p>
    <w:p w14:paraId="6E2A1A2C" w14:textId="77777777" w:rsidR="005D3FDE" w:rsidRPr="006F6651" w:rsidRDefault="005D3FDE" w:rsidP="005D3FDE">
      <w:pPr>
        <w:numPr>
          <w:ilvl w:val="0"/>
          <w:numId w:val="6"/>
        </w:numPr>
      </w:pPr>
      <w:r w:rsidRPr="006F6651">
        <w:t>Unpaid invoices are maintained in an unpaid invoice file.</w:t>
      </w:r>
    </w:p>
    <w:p w14:paraId="603B077D" w14:textId="77777777" w:rsidR="005D3FDE" w:rsidRPr="006F6651" w:rsidRDefault="005D3FDE" w:rsidP="005D3FDE"/>
    <w:p w14:paraId="539B29D7" w14:textId="77777777" w:rsidR="005D3FDE" w:rsidRPr="00F862A2" w:rsidRDefault="00C511BA" w:rsidP="005D3FDE">
      <w:pPr>
        <w:pStyle w:val="Heading4"/>
        <w:spacing w:before="0" w:after="0"/>
        <w:rPr>
          <w:rFonts w:ascii="Times New Roman" w:hAnsi="Times New Roman"/>
          <w:u w:val="single"/>
        </w:rPr>
      </w:pPr>
      <w:r w:rsidRPr="00F862A2">
        <w:rPr>
          <w:rFonts w:ascii="Times New Roman" w:hAnsi="Times New Roman"/>
          <w:u w:val="single"/>
        </w:rPr>
        <w:t xml:space="preserve">F.  </w:t>
      </w:r>
      <w:r w:rsidRPr="00F862A2">
        <w:rPr>
          <w:rFonts w:ascii="Times New Roman" w:hAnsi="Times New Roman"/>
          <w:u w:val="single"/>
        </w:rPr>
        <w:tab/>
        <w:t>PETTY CASH</w:t>
      </w:r>
    </w:p>
    <w:p w14:paraId="02A0F85F" w14:textId="77777777" w:rsidR="005D3FDE" w:rsidRPr="006F6651" w:rsidRDefault="005D3FDE" w:rsidP="005D3FDE"/>
    <w:p w14:paraId="74651120" w14:textId="77777777" w:rsidR="005D3FDE" w:rsidRPr="006F6651" w:rsidRDefault="005D3FDE" w:rsidP="005D3FDE">
      <w:r w:rsidRPr="006F6651">
        <w:t xml:space="preserve">Organization internal controls on Petty Cash transactions must include the following standards: </w:t>
      </w:r>
    </w:p>
    <w:p w14:paraId="644EF6CE" w14:textId="77777777" w:rsidR="005D3FDE" w:rsidRPr="006F6651" w:rsidRDefault="005D3FDE" w:rsidP="005D3FDE"/>
    <w:p w14:paraId="445F2942" w14:textId="35FF22FB" w:rsidR="005D3FDE" w:rsidRPr="006F6651" w:rsidRDefault="005D3FDE" w:rsidP="005D3FDE">
      <w:pPr>
        <w:numPr>
          <w:ilvl w:val="0"/>
          <w:numId w:val="5"/>
        </w:numPr>
      </w:pPr>
      <w:r w:rsidRPr="006F6651">
        <w:t>The amount that can be reimbursed from a petty cash fund is limited to a certain amount</w:t>
      </w:r>
      <w:r w:rsidR="0004595C">
        <w:t xml:space="preserve"> (e.g., $100); and</w:t>
      </w:r>
    </w:p>
    <w:p w14:paraId="11BE9C73" w14:textId="2BE14E2B" w:rsidR="005D3FDE" w:rsidRPr="006F6651" w:rsidRDefault="005D3FDE" w:rsidP="005D3FDE">
      <w:pPr>
        <w:numPr>
          <w:ilvl w:val="0"/>
          <w:numId w:val="5"/>
        </w:numPr>
      </w:pPr>
      <w:r w:rsidRPr="006F6651">
        <w:t>Transaction records are maintained providing a description of the expense, name of employee reimbursed, and supporting documentation (</w:t>
      </w:r>
      <w:r w:rsidR="0004595C">
        <w:t xml:space="preserve">e.g., </w:t>
      </w:r>
      <w:r w:rsidRPr="006F6651">
        <w:t xml:space="preserve">receipts, invoices, etc.). </w:t>
      </w:r>
    </w:p>
    <w:p w14:paraId="5884A897" w14:textId="77777777" w:rsidR="005D3FDE" w:rsidRPr="006F6651" w:rsidRDefault="005D3FDE" w:rsidP="005D3FDE"/>
    <w:p w14:paraId="74448743" w14:textId="77777777" w:rsidR="005D3FDE" w:rsidRPr="00F862A2" w:rsidRDefault="00C511BA" w:rsidP="005D3FDE">
      <w:pPr>
        <w:pStyle w:val="Heading4"/>
        <w:spacing w:before="0" w:after="0"/>
        <w:rPr>
          <w:rFonts w:ascii="Times New Roman" w:hAnsi="Times New Roman"/>
          <w:u w:val="single"/>
        </w:rPr>
      </w:pPr>
      <w:r w:rsidRPr="00F862A2">
        <w:rPr>
          <w:rFonts w:ascii="Times New Roman" w:hAnsi="Times New Roman"/>
          <w:u w:val="single"/>
        </w:rPr>
        <w:t xml:space="preserve">G.  </w:t>
      </w:r>
      <w:r w:rsidRPr="00F862A2">
        <w:rPr>
          <w:rFonts w:ascii="Times New Roman" w:hAnsi="Times New Roman"/>
          <w:u w:val="single"/>
        </w:rPr>
        <w:tab/>
        <w:t>CASH RECEIPTS</w:t>
      </w:r>
    </w:p>
    <w:p w14:paraId="04061073" w14:textId="77777777" w:rsidR="005D3FDE" w:rsidRPr="006F6651" w:rsidRDefault="005D3FDE" w:rsidP="005D3FDE"/>
    <w:p w14:paraId="77B1D009" w14:textId="2696339B" w:rsidR="005D3FDE" w:rsidRPr="006F6651" w:rsidRDefault="005D3FDE" w:rsidP="005D3FDE">
      <w:r w:rsidRPr="006F6651">
        <w:t>A Cash Receipts Journal must provide the following detail: date of deposit, name of payer, amount of deposit, and a description of the account credited.  Internal controls must include:</w:t>
      </w:r>
    </w:p>
    <w:p w14:paraId="7B86D550" w14:textId="77777777" w:rsidR="005D3FDE" w:rsidRPr="006F6651" w:rsidRDefault="005D3FDE" w:rsidP="005D3FDE"/>
    <w:p w14:paraId="7EB25B90" w14:textId="19D78096" w:rsidR="005D3FDE" w:rsidRPr="006F6651" w:rsidRDefault="005D3FDE" w:rsidP="005D3FDE">
      <w:pPr>
        <w:numPr>
          <w:ilvl w:val="0"/>
          <w:numId w:val="4"/>
        </w:numPr>
      </w:pPr>
      <w:r w:rsidRPr="006F6651">
        <w:t>Checks are endorsed “For Deposit Only”</w:t>
      </w:r>
      <w:r w:rsidR="00B673F3">
        <w:t>; and</w:t>
      </w:r>
    </w:p>
    <w:p w14:paraId="1B6FAD1C" w14:textId="15E75769" w:rsidR="005D3FDE" w:rsidRPr="006F6651" w:rsidRDefault="005D3FDE" w:rsidP="005D3FDE">
      <w:pPr>
        <w:numPr>
          <w:ilvl w:val="0"/>
          <w:numId w:val="4"/>
        </w:numPr>
      </w:pPr>
      <w:r w:rsidRPr="006F6651">
        <w:t>Pre-numbered deposit slips are used to record mon</w:t>
      </w:r>
      <w:r w:rsidR="00B673F3">
        <w:t>ie</w:t>
      </w:r>
      <w:r w:rsidRPr="006F6651">
        <w:t>s received.</w:t>
      </w:r>
    </w:p>
    <w:p w14:paraId="2650C026" w14:textId="77777777" w:rsidR="005D3FDE" w:rsidRPr="006F6651" w:rsidRDefault="005D3FDE" w:rsidP="005D3FDE">
      <w:pPr>
        <w:rPr>
          <w:b/>
        </w:rPr>
      </w:pPr>
    </w:p>
    <w:p w14:paraId="02E83565" w14:textId="77777777" w:rsidR="005D3FDE" w:rsidRPr="00F862A2" w:rsidRDefault="00C511BA" w:rsidP="005D3FDE">
      <w:pPr>
        <w:pStyle w:val="Heading4"/>
        <w:spacing w:before="0" w:after="0"/>
        <w:rPr>
          <w:rFonts w:ascii="Times New Roman" w:hAnsi="Times New Roman"/>
          <w:u w:val="single"/>
        </w:rPr>
      </w:pPr>
      <w:r w:rsidRPr="00F862A2">
        <w:rPr>
          <w:rFonts w:ascii="Times New Roman" w:hAnsi="Times New Roman"/>
          <w:u w:val="single"/>
        </w:rPr>
        <w:t xml:space="preserve">H.  </w:t>
      </w:r>
      <w:r w:rsidRPr="00F862A2">
        <w:rPr>
          <w:rFonts w:ascii="Times New Roman" w:hAnsi="Times New Roman"/>
          <w:u w:val="single"/>
        </w:rPr>
        <w:tab/>
        <w:t>PAYROLL</w:t>
      </w:r>
    </w:p>
    <w:p w14:paraId="21551106" w14:textId="77777777" w:rsidR="005D3FDE" w:rsidRPr="006F6651" w:rsidRDefault="005D3FDE" w:rsidP="005D3FDE"/>
    <w:p w14:paraId="577AE8E6" w14:textId="77777777" w:rsidR="005D3FDE" w:rsidRPr="006F6651" w:rsidRDefault="005D3FDE" w:rsidP="005D3FDE">
      <w:r w:rsidRPr="006F6651">
        <w:t>Organization internal controls on payments to employees for salary and wage expenses must include the following standards:</w:t>
      </w:r>
    </w:p>
    <w:p w14:paraId="2145A89B" w14:textId="77777777" w:rsidR="005D3FDE" w:rsidRPr="006F6651" w:rsidRDefault="005D3FDE" w:rsidP="005D3FDE"/>
    <w:p w14:paraId="08620F1D" w14:textId="671121D9" w:rsidR="005D3FDE" w:rsidRPr="006F6651" w:rsidRDefault="005D3FDE" w:rsidP="005D3FDE">
      <w:pPr>
        <w:numPr>
          <w:ilvl w:val="0"/>
          <w:numId w:val="7"/>
        </w:numPr>
      </w:pPr>
      <w:r w:rsidRPr="006F6651">
        <w:t>Employee records must be maintained for each employee that detail wage rates, benefits, taxes withheld</w:t>
      </w:r>
      <w:r w:rsidR="004D490F">
        <w:t xml:space="preserve">, </w:t>
      </w:r>
      <w:r w:rsidRPr="006F6651">
        <w:t>changes, and eligibility to work (SS# copy or INS work permit);</w:t>
      </w:r>
    </w:p>
    <w:p w14:paraId="34EA85FB" w14:textId="4C552063" w:rsidR="005D3FDE" w:rsidRPr="006F6651" w:rsidRDefault="005D3FDE" w:rsidP="005D3FDE">
      <w:pPr>
        <w:numPr>
          <w:ilvl w:val="0"/>
          <w:numId w:val="7"/>
        </w:numPr>
      </w:pPr>
      <w:r w:rsidRPr="006F6651">
        <w:t>Detailed time reports documenting employee hours and signed by the employee and supervisor are required (</w:t>
      </w:r>
      <w:r w:rsidR="004D490F">
        <w:t xml:space="preserve">e.g., </w:t>
      </w:r>
      <w:r w:rsidRPr="006F6651">
        <w:t>total time &amp; hours worked each day);</w:t>
      </w:r>
    </w:p>
    <w:p w14:paraId="2422BBBD" w14:textId="77777777" w:rsidR="005D3FDE" w:rsidRPr="006F6651" w:rsidRDefault="005D3FDE" w:rsidP="005D3FDE">
      <w:pPr>
        <w:numPr>
          <w:ilvl w:val="0"/>
          <w:numId w:val="7"/>
        </w:numPr>
      </w:pPr>
      <w:r w:rsidRPr="006F6651">
        <w:t>Payroll related taxes must be withheld and paid to federal and state agencies on a timely basis;</w:t>
      </w:r>
    </w:p>
    <w:p w14:paraId="6388F50F" w14:textId="4DBEF4BE" w:rsidR="005D3FDE" w:rsidRPr="006F6651" w:rsidRDefault="005D3FDE" w:rsidP="005D3FDE">
      <w:pPr>
        <w:numPr>
          <w:ilvl w:val="0"/>
          <w:numId w:val="7"/>
        </w:numPr>
      </w:pPr>
      <w:r w:rsidRPr="006F6651">
        <w:t xml:space="preserve">Written policies and procedures </w:t>
      </w:r>
      <w:r w:rsidR="004D490F">
        <w:t xml:space="preserve">must be maintained </w:t>
      </w:r>
      <w:r w:rsidRPr="006F6651">
        <w:t>for accounting for vacations, holidays, sick leave and other benefits;</w:t>
      </w:r>
    </w:p>
    <w:p w14:paraId="182E3185" w14:textId="77777777" w:rsidR="005D3FDE" w:rsidRPr="006F6651" w:rsidRDefault="005D3FDE" w:rsidP="005D3FDE">
      <w:pPr>
        <w:numPr>
          <w:ilvl w:val="0"/>
          <w:numId w:val="7"/>
        </w:numPr>
      </w:pPr>
      <w:r w:rsidRPr="006F6651">
        <w:t>A list of payroll checks and withheld taxes must be maintained either through the Cash Disbursement Journal or a separate Payroll Register; and</w:t>
      </w:r>
    </w:p>
    <w:p w14:paraId="3F2E7277" w14:textId="5A5F4E2D" w:rsidR="005D3FDE" w:rsidRPr="006F6651" w:rsidRDefault="005D3FDE" w:rsidP="005D3FDE">
      <w:pPr>
        <w:numPr>
          <w:ilvl w:val="0"/>
          <w:numId w:val="7"/>
        </w:numPr>
      </w:pPr>
      <w:r w:rsidRPr="006F6651">
        <w:t xml:space="preserve">A policy </w:t>
      </w:r>
      <w:r w:rsidR="004D490F">
        <w:t xml:space="preserve">must be maintained </w:t>
      </w:r>
      <w:r w:rsidRPr="006F6651">
        <w:t>prohibiting salary advances from grant funds.</w:t>
      </w:r>
    </w:p>
    <w:p w14:paraId="73EA0D14" w14:textId="77777777" w:rsidR="005D3FDE" w:rsidRPr="006F6651" w:rsidRDefault="005D3FDE" w:rsidP="005D3FDE"/>
    <w:p w14:paraId="7504ADE6" w14:textId="77777777" w:rsidR="005D3FDE" w:rsidRPr="006F6651" w:rsidRDefault="005D3FDE" w:rsidP="005D3FDE">
      <w:r w:rsidRPr="006F6651">
        <w:t>CDBG funds may not be used to compensate employees for claimed activity or benefit after the termination date of the Grant Agreement.</w:t>
      </w:r>
    </w:p>
    <w:p w14:paraId="4F9057A6" w14:textId="77777777" w:rsidR="005D3FDE" w:rsidRPr="006F6651" w:rsidRDefault="005D3FDE" w:rsidP="005D3FDE"/>
    <w:p w14:paraId="6F7F6853" w14:textId="4B3E486E" w:rsidR="005D3FDE" w:rsidRPr="006F6651" w:rsidRDefault="005D3FDE" w:rsidP="005D3FDE">
      <w:r w:rsidRPr="006F6651">
        <w:t>All employees funded by City contracts must meet the Minimum Compensation Ordinance</w:t>
      </w:r>
      <w:r w:rsidR="00936C16">
        <w:t xml:space="preserve"> (MCO)</w:t>
      </w:r>
      <w:r w:rsidRPr="006F6651">
        <w:t xml:space="preserve"> </w:t>
      </w:r>
      <w:r w:rsidR="00936C16">
        <w:t xml:space="preserve">and </w:t>
      </w:r>
      <w:r w:rsidR="001456C4">
        <w:t xml:space="preserve">Paid Sick Leave Ordinance </w:t>
      </w:r>
      <w:r w:rsidRPr="006F6651">
        <w:t xml:space="preserve">requirements of San Francisco. </w:t>
      </w:r>
      <w:r w:rsidR="00003012">
        <w:t xml:space="preserve">New City suppliers will be asked to sign a MCO Declaration Form as a condition of receiving grant funds. </w:t>
      </w:r>
      <w:r w:rsidRPr="006F6651">
        <w:t>Please refer to the Office of Labor Standards Enforcement for more information (</w:t>
      </w:r>
      <w:hyperlink r:id="rId17" w:history="1">
        <w:r w:rsidRPr="006F6651">
          <w:rPr>
            <w:rStyle w:val="Hyperlink"/>
          </w:rPr>
          <w:t>http://sfgsa.org/index.aspx?page=391</w:t>
        </w:r>
      </w:hyperlink>
      <w:r w:rsidRPr="006F6651">
        <w:t>).</w:t>
      </w:r>
    </w:p>
    <w:p w14:paraId="05D21D02" w14:textId="77777777" w:rsidR="005D3FDE" w:rsidRPr="006F6651" w:rsidRDefault="005D3FDE" w:rsidP="005D3FDE">
      <w:r w:rsidRPr="006F6651">
        <w:t xml:space="preserve">    </w:t>
      </w:r>
    </w:p>
    <w:p w14:paraId="68AF9C15" w14:textId="77777777" w:rsidR="005D3FDE" w:rsidRPr="00F862A2" w:rsidRDefault="00C511BA" w:rsidP="005D3FDE">
      <w:pPr>
        <w:pStyle w:val="Heading4"/>
        <w:spacing w:before="0" w:after="0"/>
        <w:rPr>
          <w:rFonts w:ascii="Times New Roman" w:hAnsi="Times New Roman"/>
          <w:u w:val="single"/>
        </w:rPr>
      </w:pPr>
      <w:r w:rsidRPr="00F862A2">
        <w:rPr>
          <w:rFonts w:ascii="Times New Roman" w:hAnsi="Times New Roman"/>
          <w:u w:val="single"/>
        </w:rPr>
        <w:t xml:space="preserve">I.  </w:t>
      </w:r>
      <w:r w:rsidRPr="00F862A2">
        <w:rPr>
          <w:rFonts w:ascii="Times New Roman" w:hAnsi="Times New Roman"/>
          <w:u w:val="single"/>
        </w:rPr>
        <w:tab/>
        <w:t>INVENTORY OF FIXED ASSETS</w:t>
      </w:r>
    </w:p>
    <w:p w14:paraId="3403C0F9" w14:textId="77777777" w:rsidR="005D3FDE" w:rsidRPr="006F6651" w:rsidRDefault="005D3FDE" w:rsidP="005D3FDE">
      <w:pPr>
        <w:rPr>
          <w:b/>
        </w:rPr>
      </w:pPr>
    </w:p>
    <w:p w14:paraId="0F0EE727" w14:textId="77777777" w:rsidR="005D3FDE" w:rsidRPr="006F6651" w:rsidRDefault="005D3FDE" w:rsidP="005D3FDE">
      <w:r w:rsidRPr="006F6651">
        <w:t>Organization internal record keeping on fixed assets must include the following standards:</w:t>
      </w:r>
    </w:p>
    <w:p w14:paraId="49C67CB6" w14:textId="77777777" w:rsidR="005D3FDE" w:rsidRPr="006F6651" w:rsidRDefault="005D3FDE" w:rsidP="005D3FDE"/>
    <w:p w14:paraId="5EAB3F23" w14:textId="174C5F58" w:rsidR="005D3FDE" w:rsidRPr="006F6651" w:rsidRDefault="005D3FDE" w:rsidP="005D3FDE">
      <w:pPr>
        <w:numPr>
          <w:ilvl w:val="0"/>
          <w:numId w:val="8"/>
        </w:numPr>
      </w:pPr>
      <w:r w:rsidRPr="006F6651">
        <w:t>Land, buildings, furniture, and equipment are recorded in a Fixed Asset Ledger (inventory record) even if the items were not purchased with MOHCD funds</w:t>
      </w:r>
      <w:r w:rsidR="000768D8">
        <w:t>; and</w:t>
      </w:r>
    </w:p>
    <w:p w14:paraId="6AA20691" w14:textId="77777777" w:rsidR="005D3FDE" w:rsidRPr="006F6651" w:rsidRDefault="005D3FDE" w:rsidP="005D3FDE">
      <w:pPr>
        <w:numPr>
          <w:ilvl w:val="0"/>
          <w:numId w:val="8"/>
        </w:numPr>
      </w:pPr>
      <w:r w:rsidRPr="006F6651">
        <w:t>Inventory records list inventory item, equipment serial number, location, date of acquisition and cost.</w:t>
      </w:r>
    </w:p>
    <w:p w14:paraId="64E2D53F" w14:textId="77777777" w:rsidR="009D579E" w:rsidRPr="00F862A2" w:rsidRDefault="005D3FDE" w:rsidP="009D579E">
      <w:pPr>
        <w:jc w:val="center"/>
        <w:rPr>
          <w:b/>
          <w:sz w:val="32"/>
          <w:szCs w:val="32"/>
        </w:rPr>
      </w:pPr>
      <w:r w:rsidRPr="006F6651">
        <w:br w:type="page"/>
      </w:r>
      <w:r w:rsidR="009D579E" w:rsidRPr="00F862A2">
        <w:rPr>
          <w:b/>
          <w:sz w:val="32"/>
          <w:szCs w:val="32"/>
        </w:rPr>
        <w:lastRenderedPageBreak/>
        <w:t xml:space="preserve">CHAPTER IV.  PROCUREMENT </w:t>
      </w:r>
      <w:r w:rsidR="009D579E">
        <w:rPr>
          <w:b/>
          <w:sz w:val="32"/>
          <w:szCs w:val="32"/>
        </w:rPr>
        <w:t>&amp;</w:t>
      </w:r>
      <w:r w:rsidR="009D579E" w:rsidRPr="00F862A2">
        <w:rPr>
          <w:b/>
          <w:sz w:val="32"/>
          <w:szCs w:val="32"/>
        </w:rPr>
        <w:t xml:space="preserve"> CONTRACTUAL SERVICES</w:t>
      </w:r>
    </w:p>
    <w:p w14:paraId="6D1BB34B" w14:textId="77777777" w:rsidR="009D579E" w:rsidRPr="006F6651" w:rsidRDefault="009D579E" w:rsidP="009D579E">
      <w:pPr>
        <w:rPr>
          <w:b/>
        </w:rPr>
      </w:pPr>
    </w:p>
    <w:p w14:paraId="7D80B985" w14:textId="13D1FA64" w:rsidR="002373E0" w:rsidRDefault="002373E0" w:rsidP="002373E0">
      <w:pPr>
        <w:rPr>
          <w:sz w:val="22"/>
          <w:szCs w:val="22"/>
        </w:rPr>
      </w:pPr>
      <w:r>
        <w:t xml:space="preserve">Organizations that pay a vendor for equipment, supplies purchase or a non-employee for services involved in completing terms of the Grant Agreement are entering into a procurement or subcontract agreement.  Significant portions of these agreements involve regulatory compliance.  Subcontracts </w:t>
      </w:r>
      <w:r w:rsidR="00C06109">
        <w:t xml:space="preserve">that exceed </w:t>
      </w:r>
      <w:r>
        <w:t xml:space="preserve">$10,000, and equipment purchases </w:t>
      </w:r>
      <w:r w:rsidR="00C06109">
        <w:t xml:space="preserve">that exceed </w:t>
      </w:r>
      <w:r>
        <w:t xml:space="preserve">$5,000, require prior written approval from MOHCD.  </w:t>
      </w:r>
    </w:p>
    <w:p w14:paraId="4E5A14D5" w14:textId="77777777" w:rsidR="002373E0" w:rsidRDefault="002373E0" w:rsidP="002373E0"/>
    <w:p w14:paraId="70DE1069" w14:textId="31578B22" w:rsidR="002373E0" w:rsidRDefault="002373E0" w:rsidP="002373E0">
      <w:r>
        <w:t>If a subcontract is included in a proposal that is responsive to an MOHCD procurement/RFP, this proposal is approved for funding and the subcontract is approved as part of the grant negotiations, then this subcontract is considered to have received prior written approval by MOHCD.</w:t>
      </w:r>
      <w:r w:rsidR="00037FE7">
        <w:t xml:space="preserve">  </w:t>
      </w:r>
      <w:r w:rsidR="00ED5E4B">
        <w:t xml:space="preserve">In the GMS budget, please include in the description of these Contractual Services line items that </w:t>
      </w:r>
      <w:r w:rsidR="003B792D">
        <w:t>“This subcontract was approved as part of the proposal submitted.”</w:t>
      </w:r>
    </w:p>
    <w:p w14:paraId="12286E9A" w14:textId="77777777" w:rsidR="002373E0" w:rsidRDefault="002373E0" w:rsidP="002373E0"/>
    <w:p w14:paraId="3427D77F" w14:textId="3D5A0C45" w:rsidR="002373E0" w:rsidRDefault="002373E0" w:rsidP="002373E0">
      <w:r>
        <w:t xml:space="preserve">In other instances, before making equipment purchases </w:t>
      </w:r>
      <w:r w:rsidR="00C06109">
        <w:t xml:space="preserve">in excess of </w:t>
      </w:r>
      <w:r>
        <w:t>$5,000</w:t>
      </w:r>
      <w:r w:rsidR="006170AA">
        <w:t xml:space="preserve"> or entering into subcontracts </w:t>
      </w:r>
      <w:r w:rsidR="00C06109">
        <w:t xml:space="preserve">in excess of </w:t>
      </w:r>
      <w:r w:rsidR="006170AA">
        <w:t>$10,000</w:t>
      </w:r>
      <w:r w:rsidR="00C06109">
        <w:t>,</w:t>
      </w:r>
      <w:r>
        <w:t xml:space="preserve"> grantees must read this chapter carefully and review </w:t>
      </w:r>
      <w:r>
        <w:rPr>
          <w:u w:val="single"/>
        </w:rPr>
        <w:t>Form H:  Request for Approval of Subcontract and Equipment Purchase</w:t>
      </w:r>
      <w:r>
        <w:t xml:space="preserve">.  In these instances, no equipment purchase </w:t>
      </w:r>
      <w:r w:rsidR="00C06109">
        <w:t xml:space="preserve">in excess of </w:t>
      </w:r>
      <w:r>
        <w:t>$5,000</w:t>
      </w:r>
      <w:r w:rsidR="00C06109">
        <w:t>,</w:t>
      </w:r>
      <w:r>
        <w:t xml:space="preserve"> </w:t>
      </w:r>
      <w:r w:rsidR="00C06109">
        <w:t>or</w:t>
      </w:r>
      <w:r>
        <w:t xml:space="preserve"> subcontract expenditures </w:t>
      </w:r>
      <w:r w:rsidR="00C06109">
        <w:t xml:space="preserve">in excess of </w:t>
      </w:r>
      <w:r>
        <w:t>$10,000</w:t>
      </w:r>
      <w:r w:rsidR="00C06109">
        <w:t>,</w:t>
      </w:r>
      <w:r>
        <w:t xml:space="preserve"> will be reimbursed by MOHCD unless there is an approved Form H with the required documentation, which includes a copy of the contractual agreement containing the elements required in the Form H instructions. </w:t>
      </w:r>
    </w:p>
    <w:p w14:paraId="13C04CFC" w14:textId="5356168B" w:rsidR="004B57D1" w:rsidRDefault="004B57D1" w:rsidP="002373E0"/>
    <w:p w14:paraId="28ABB8C6" w14:textId="1AF31B5A" w:rsidR="004B57D1" w:rsidRDefault="004B57D1" w:rsidP="002373E0">
      <w:r>
        <w:t xml:space="preserve">Any Equipment Purchases or Subcontracts larger than the threshold amount should be included as a separate line item in the GMS budget.  </w:t>
      </w:r>
    </w:p>
    <w:p w14:paraId="4BB34561" w14:textId="77777777" w:rsidR="007565CF" w:rsidRDefault="007565CF" w:rsidP="009D579E"/>
    <w:p w14:paraId="4AB18611" w14:textId="5D44C790" w:rsidR="007565CF" w:rsidRPr="006F6651" w:rsidRDefault="007565CF" w:rsidP="007565CF">
      <w:r w:rsidRPr="00805FFA">
        <w:t xml:space="preserve">In addition to the above, each contractor and subcontractor must agree to, and comply with, a number of federal and local laws and requirements.  The applicable requirements are set forth in the </w:t>
      </w:r>
      <w:r w:rsidRPr="00805FFA">
        <w:rPr>
          <w:u w:val="single"/>
        </w:rPr>
        <w:t>Required Subcontracting Provision</w:t>
      </w:r>
      <w:r w:rsidR="00704101">
        <w:rPr>
          <w:u w:val="single"/>
        </w:rPr>
        <w:t>,</w:t>
      </w:r>
      <w:r w:rsidRPr="00805FFA">
        <w:t xml:space="preserve"> which is included as Section 7.03 of the Grant Agreement.  Failure of any of the grantee’s contractors or subcontractors to comply with such requirements may result in penalties and/or the suspension or termination of the Grant Agreement.  Grantees must attach the </w:t>
      </w:r>
      <w:r w:rsidRPr="00805FFA">
        <w:rPr>
          <w:u w:val="single"/>
        </w:rPr>
        <w:t>Required Subcontracting Provision</w:t>
      </w:r>
      <w:r w:rsidRPr="00805FFA">
        <w:t xml:space="preserve"> to all contracts</w:t>
      </w:r>
      <w:r w:rsidRPr="006F6651">
        <w:t xml:space="preserve"> with subcontractors.</w:t>
      </w:r>
    </w:p>
    <w:p w14:paraId="3E95E881" w14:textId="77777777" w:rsidR="00D10D48" w:rsidRDefault="00D10D48" w:rsidP="009D579E"/>
    <w:p w14:paraId="254D6A96" w14:textId="18056CAA" w:rsidR="009D579E" w:rsidRPr="006F6651" w:rsidRDefault="009D579E" w:rsidP="009D579E">
      <w:r w:rsidRPr="006F6651">
        <w:t>In addition to these specific requirements, grantees shall maintain internal controls on the procurement of goods and services.  At a minimum, the organization’s internal procedures must include the following:</w:t>
      </w:r>
    </w:p>
    <w:p w14:paraId="25FEB9B6" w14:textId="77777777" w:rsidR="009D579E" w:rsidRPr="006F6651" w:rsidRDefault="009D579E" w:rsidP="009D579E">
      <w:r w:rsidRPr="006F6651">
        <w:t xml:space="preserve"> </w:t>
      </w:r>
    </w:p>
    <w:p w14:paraId="38273DF4" w14:textId="58D9F1A7" w:rsidR="009D579E" w:rsidRPr="006F6651" w:rsidRDefault="009D579E" w:rsidP="009D579E">
      <w:pPr>
        <w:numPr>
          <w:ilvl w:val="0"/>
          <w:numId w:val="9"/>
        </w:numPr>
      </w:pPr>
      <w:r w:rsidRPr="006F6651">
        <w:t xml:space="preserve">A written selection procedure for procurement transactions </w:t>
      </w:r>
      <w:r w:rsidR="000F4240">
        <w:t>that</w:t>
      </w:r>
      <w:r w:rsidRPr="006F6651">
        <w:t xml:space="preserve"> ensure</w:t>
      </w:r>
      <w:r w:rsidR="000F4240">
        <w:t>s</w:t>
      </w:r>
      <w:r w:rsidRPr="006F6651">
        <w:t xml:space="preserve"> the organization:</w:t>
      </w:r>
      <w:r w:rsidRPr="006F6651">
        <w:tab/>
      </w:r>
    </w:p>
    <w:p w14:paraId="54809461" w14:textId="77777777" w:rsidR="009D579E" w:rsidRPr="006F6651" w:rsidRDefault="009D579E" w:rsidP="009D579E">
      <w:pPr>
        <w:numPr>
          <w:ilvl w:val="0"/>
          <w:numId w:val="10"/>
        </w:numPr>
      </w:pPr>
      <w:r w:rsidRPr="006F6651">
        <w:t>avoids purchasing unnecessary or duplicative items;</w:t>
      </w:r>
    </w:p>
    <w:p w14:paraId="63C925CD" w14:textId="77777777" w:rsidR="009D579E" w:rsidRPr="006F6651" w:rsidRDefault="009D579E" w:rsidP="009D579E">
      <w:pPr>
        <w:numPr>
          <w:ilvl w:val="0"/>
          <w:numId w:val="10"/>
        </w:numPr>
      </w:pPr>
      <w:r w:rsidRPr="006F6651">
        <w:t>uses whenever possible Federal excess and surplus property, intergovernmental agreements for procurement, or common goods and services, to foster greater economy and efficiency;</w:t>
      </w:r>
    </w:p>
    <w:p w14:paraId="36BC1E23" w14:textId="77777777" w:rsidR="009D579E" w:rsidRPr="006F6651" w:rsidRDefault="009D579E" w:rsidP="009D579E">
      <w:pPr>
        <w:numPr>
          <w:ilvl w:val="0"/>
          <w:numId w:val="10"/>
        </w:numPr>
      </w:pPr>
      <w:r w:rsidRPr="006F6651">
        <w:t>has all purchase orders and contracts signed by authorized officers;</w:t>
      </w:r>
    </w:p>
    <w:p w14:paraId="69DCF76F" w14:textId="77777777" w:rsidR="009D579E" w:rsidRPr="006F6651" w:rsidRDefault="009D579E" w:rsidP="009D579E">
      <w:pPr>
        <w:numPr>
          <w:ilvl w:val="0"/>
          <w:numId w:val="10"/>
        </w:numPr>
      </w:pPr>
      <w:r w:rsidRPr="006F6651">
        <w:t xml:space="preserve">verifies that items delivered and paid for are consistent with the purchase order or contract; </w:t>
      </w:r>
    </w:p>
    <w:p w14:paraId="5D0D4B8B" w14:textId="77777777" w:rsidR="009D579E" w:rsidRPr="006F6651" w:rsidRDefault="009D579E" w:rsidP="009D579E">
      <w:pPr>
        <w:numPr>
          <w:ilvl w:val="0"/>
          <w:numId w:val="10"/>
        </w:numPr>
      </w:pPr>
      <w:r w:rsidRPr="006F6651">
        <w:lastRenderedPageBreak/>
        <w:t>pays vendors only when the order is delivered, inspected, accepted, and payment authorized;</w:t>
      </w:r>
    </w:p>
    <w:p w14:paraId="6217F4C0" w14:textId="77777777" w:rsidR="009D579E" w:rsidRPr="006F6651" w:rsidRDefault="009D579E" w:rsidP="009D579E">
      <w:pPr>
        <w:numPr>
          <w:ilvl w:val="0"/>
          <w:numId w:val="10"/>
        </w:numPr>
      </w:pPr>
      <w:r w:rsidRPr="006F6651">
        <w:t>documents a cost or price analysis for every procurement action; and</w:t>
      </w:r>
    </w:p>
    <w:p w14:paraId="4C15611C" w14:textId="77777777" w:rsidR="009D579E" w:rsidRPr="006F6651" w:rsidRDefault="009D579E" w:rsidP="009D579E">
      <w:pPr>
        <w:numPr>
          <w:ilvl w:val="0"/>
          <w:numId w:val="10"/>
        </w:numPr>
      </w:pPr>
      <w:r w:rsidRPr="006F6651">
        <w:t>negotiates profit or fee separately from price.</w:t>
      </w:r>
    </w:p>
    <w:p w14:paraId="6B3B5692" w14:textId="77777777" w:rsidR="009D579E" w:rsidRPr="006F6651" w:rsidRDefault="009D579E" w:rsidP="009D579E">
      <w:pPr>
        <w:numPr>
          <w:ilvl w:val="0"/>
          <w:numId w:val="9"/>
        </w:numPr>
      </w:pPr>
      <w:r w:rsidRPr="006F6651">
        <w:t>Standards of conduct that prohibit doing business with firms where any of the organization’s officers, employees, agents or their family members may have a direct or indirect financial interest or they are negotiating employment;</w:t>
      </w:r>
    </w:p>
    <w:p w14:paraId="5E75125A" w14:textId="77777777" w:rsidR="009D579E" w:rsidRPr="006F6651" w:rsidRDefault="009D579E" w:rsidP="009D579E">
      <w:pPr>
        <w:numPr>
          <w:ilvl w:val="0"/>
          <w:numId w:val="9"/>
        </w:numPr>
      </w:pPr>
      <w:r w:rsidRPr="006F6651">
        <w:t>Policies that prohibit officers, employees, agents and their family members from accepting gratuities or anything of value from current or potential vendors or contractors;</w:t>
      </w:r>
    </w:p>
    <w:p w14:paraId="4C4DF584" w14:textId="77777777" w:rsidR="009D579E" w:rsidRPr="006F6651" w:rsidRDefault="009D579E" w:rsidP="009D579E">
      <w:pPr>
        <w:numPr>
          <w:ilvl w:val="0"/>
          <w:numId w:val="9"/>
        </w:numPr>
      </w:pPr>
      <w:r w:rsidRPr="006F6651">
        <w:t>Policies that promote open and free competition during the solicitation for goods and services;</w:t>
      </w:r>
    </w:p>
    <w:p w14:paraId="65D0953A" w14:textId="77777777" w:rsidR="009D579E" w:rsidRPr="006F6651" w:rsidRDefault="009D579E" w:rsidP="009D579E">
      <w:pPr>
        <w:numPr>
          <w:ilvl w:val="0"/>
          <w:numId w:val="9"/>
        </w:numPr>
      </w:pPr>
      <w:r w:rsidRPr="006F6651">
        <w:t>Positive good faith efforts to contract with local disadvantaged small and minority and/or women owned businesses, including:</w:t>
      </w:r>
    </w:p>
    <w:p w14:paraId="0DF9CED4" w14:textId="77777777" w:rsidR="009D579E" w:rsidRPr="006F6651" w:rsidRDefault="009D579E" w:rsidP="009D579E">
      <w:pPr>
        <w:ind w:left="1080" w:hanging="360"/>
      </w:pPr>
      <w:r w:rsidRPr="006F6651">
        <w:t xml:space="preserve">a.  </w:t>
      </w:r>
      <w:r w:rsidRPr="006F6651">
        <w:tab/>
        <w:t xml:space="preserve">Use Form H to provide contract information to the City Purchasing Department’s </w:t>
      </w:r>
      <w:r w:rsidRPr="006F6651">
        <w:rPr>
          <w:u w:val="single"/>
        </w:rPr>
        <w:t>Bid and Contract Opportunities List</w:t>
      </w:r>
      <w:r w:rsidRPr="005B58A9">
        <w:t xml:space="preserve">  </w:t>
      </w:r>
      <w:r w:rsidRPr="006F6651">
        <w:t>(call 554-6216 for more information); and</w:t>
      </w:r>
    </w:p>
    <w:p w14:paraId="43805F0D" w14:textId="1A4588AD" w:rsidR="009D579E" w:rsidRPr="006F6651" w:rsidRDefault="009D579E" w:rsidP="009D579E">
      <w:pPr>
        <w:ind w:left="1080" w:hanging="360"/>
      </w:pPr>
      <w:r w:rsidRPr="006F6651">
        <w:t xml:space="preserve">b.  Contact </w:t>
      </w:r>
      <w:r w:rsidR="00A15305">
        <w:t xml:space="preserve">Gloria Woo at </w:t>
      </w:r>
      <w:hyperlink r:id="rId18" w:history="1">
        <w:r w:rsidR="00A15305" w:rsidRPr="000A3CA9">
          <w:rPr>
            <w:rStyle w:val="Hyperlink"/>
          </w:rPr>
          <w:t>gloria.woo@sfgov.org</w:t>
        </w:r>
      </w:hyperlink>
      <w:r w:rsidR="00A15305">
        <w:t xml:space="preserve"> </w:t>
      </w:r>
      <w:r w:rsidRPr="006F6651">
        <w:t>and the City’s Human Rights Commission for listings of businesses for outreach purposes.</w:t>
      </w:r>
    </w:p>
    <w:p w14:paraId="2ECB4CDE" w14:textId="3C18839D" w:rsidR="009D579E" w:rsidRPr="006F6651" w:rsidRDefault="009D579E" w:rsidP="009D579E">
      <w:pPr>
        <w:numPr>
          <w:ilvl w:val="0"/>
          <w:numId w:val="9"/>
        </w:numPr>
      </w:pPr>
      <w:r w:rsidRPr="006F6651">
        <w:t xml:space="preserve">Criteria for solicitations are based on an accurate description of technical requirements which do not include features </w:t>
      </w:r>
      <w:r w:rsidR="00CC73D3">
        <w:t>that</w:t>
      </w:r>
      <w:r w:rsidR="00CC73D3" w:rsidRPr="006F6651">
        <w:t xml:space="preserve"> </w:t>
      </w:r>
      <w:r w:rsidRPr="006F6651">
        <w:t>unduly restrict competition;</w:t>
      </w:r>
    </w:p>
    <w:p w14:paraId="48509DA4" w14:textId="77777777" w:rsidR="009D579E" w:rsidRPr="006F6651" w:rsidRDefault="009D579E" w:rsidP="009D579E">
      <w:pPr>
        <w:numPr>
          <w:ilvl w:val="0"/>
          <w:numId w:val="9"/>
        </w:numPr>
      </w:pPr>
      <w:r w:rsidRPr="006F6651">
        <w:t>Responsible contractors that are properly licensed and insured and who will comply with applicable laws and regulations;</w:t>
      </w:r>
    </w:p>
    <w:p w14:paraId="57BC70DF" w14:textId="77777777" w:rsidR="009D579E" w:rsidRPr="006F6651" w:rsidRDefault="009D579E" w:rsidP="009D579E">
      <w:pPr>
        <w:numPr>
          <w:ilvl w:val="0"/>
          <w:numId w:val="9"/>
        </w:numPr>
      </w:pPr>
      <w:r w:rsidRPr="006F6651">
        <w:t>Assurance that the contractor fulfills the terms of the contract before payments are made;</w:t>
      </w:r>
    </w:p>
    <w:p w14:paraId="7343021C" w14:textId="137DDFC0" w:rsidR="009D579E" w:rsidRPr="006F6651" w:rsidRDefault="007565CF" w:rsidP="009D579E">
      <w:pPr>
        <w:numPr>
          <w:ilvl w:val="0"/>
          <w:numId w:val="9"/>
        </w:numPr>
      </w:pPr>
      <w:r>
        <w:t>Records for purchases of $250,000</w:t>
      </w:r>
      <w:r w:rsidR="009D579E" w:rsidRPr="006F6651">
        <w:t xml:space="preserve"> or more must include: 1) basis of contractor selection and justification for lack of competition when competitive bids are not obtained; 2) copies of newspaper advertisement and description of outreach efforts made to publicize bidding opportunity; 3) copies of three lowest bids; and 4) if applicable, explanation of rejection or withdrawal of lowest bid;</w:t>
      </w:r>
    </w:p>
    <w:p w14:paraId="6CB4E9F9" w14:textId="1F134947" w:rsidR="009D579E" w:rsidRPr="006F6651" w:rsidRDefault="009D579E" w:rsidP="009D579E">
      <w:pPr>
        <w:numPr>
          <w:ilvl w:val="0"/>
          <w:numId w:val="9"/>
        </w:numPr>
      </w:pPr>
      <w:bookmarkStart w:id="1" w:name="_Hlk165373183"/>
      <w:r w:rsidRPr="006F6651">
        <w:t xml:space="preserve">Records for </w:t>
      </w:r>
      <w:r w:rsidR="002D48A8">
        <w:t xml:space="preserve">equipment </w:t>
      </w:r>
      <w:proofErr w:type="gramStart"/>
      <w:r w:rsidRPr="006F6651">
        <w:t xml:space="preserve">purchases  </w:t>
      </w:r>
      <w:r w:rsidR="002D48A8">
        <w:t>above</w:t>
      </w:r>
      <w:proofErr w:type="gramEnd"/>
      <w:r w:rsidR="002D48A8">
        <w:t xml:space="preserve"> </w:t>
      </w:r>
      <w:r w:rsidRPr="006F6651">
        <w:t>$</w:t>
      </w:r>
      <w:r w:rsidR="0059260D">
        <w:t>5</w:t>
      </w:r>
      <w:r w:rsidR="007565CF">
        <w:t xml:space="preserve">,000 and </w:t>
      </w:r>
      <w:r w:rsidR="002D48A8">
        <w:t xml:space="preserve">up to </w:t>
      </w:r>
      <w:r w:rsidR="007565CF">
        <w:t>$250,000</w:t>
      </w:r>
      <w:r w:rsidR="002D48A8">
        <w:t>, and for subcontracts above $10,000 and up to $250,000,</w:t>
      </w:r>
      <w:r w:rsidRPr="006F6651">
        <w:t xml:space="preserve"> must include: 1) basis of contractor selection; 2) justification for lack of competition, where appropriate; </w:t>
      </w:r>
      <w:r w:rsidR="00F33EBD">
        <w:t xml:space="preserve">and </w:t>
      </w:r>
      <w:r w:rsidRPr="006F6651">
        <w:t>3) basis for award;</w:t>
      </w:r>
    </w:p>
    <w:bookmarkEnd w:id="1"/>
    <w:p w14:paraId="7380F4C2" w14:textId="77777777" w:rsidR="009D579E" w:rsidRPr="006F6651" w:rsidRDefault="009D579E" w:rsidP="009D579E">
      <w:pPr>
        <w:numPr>
          <w:ilvl w:val="0"/>
          <w:numId w:val="9"/>
        </w:numPr>
      </w:pPr>
      <w:r w:rsidRPr="006F6651">
        <w:t>Avoidance of awarding any contract or subcontract with a suspended or debarred party;</w:t>
      </w:r>
    </w:p>
    <w:p w14:paraId="353AA7B2" w14:textId="7F2171CE" w:rsidR="009D579E" w:rsidRPr="006F6651" w:rsidRDefault="009D579E" w:rsidP="009D579E">
      <w:pPr>
        <w:numPr>
          <w:ilvl w:val="0"/>
          <w:numId w:val="9"/>
        </w:numPr>
      </w:pPr>
      <w:r w:rsidRPr="006F6651">
        <w:t>Require certificates from entities receiving sub-awards (con</w:t>
      </w:r>
      <w:r w:rsidR="007565CF">
        <w:t>tracts and subcontracts) over $250</w:t>
      </w:r>
      <w:r w:rsidRPr="006F6651">
        <w:t xml:space="preserve">,000 certifying that the company and its principals are not suspended or debarred; </w:t>
      </w:r>
    </w:p>
    <w:p w14:paraId="26401CD3" w14:textId="77777777" w:rsidR="009D579E" w:rsidRPr="006F6651" w:rsidRDefault="009D579E" w:rsidP="009D579E">
      <w:pPr>
        <w:numPr>
          <w:ilvl w:val="0"/>
          <w:numId w:val="9"/>
        </w:numPr>
      </w:pPr>
      <w:r w:rsidRPr="006F6651">
        <w:t>Use of pre-qualified lists of vendors or contractors that are current, developed through open solicitation, include adequate numbers of qualified sources, and allow entry of other firms to qualify at any time during the solicitation period;</w:t>
      </w:r>
    </w:p>
    <w:p w14:paraId="049E973C" w14:textId="77777777" w:rsidR="009D579E" w:rsidRPr="006F6651" w:rsidRDefault="009D579E" w:rsidP="009D579E">
      <w:pPr>
        <w:numPr>
          <w:ilvl w:val="0"/>
          <w:numId w:val="9"/>
        </w:numPr>
      </w:pPr>
      <w:r w:rsidRPr="006F6651">
        <w:t>Exclusion of contractors that develop or draft specifications, requirements, statement of work, invitations for bids and/or requests for proposals from the competition in order to eliminate unfair competitive advantage;</w:t>
      </w:r>
    </w:p>
    <w:p w14:paraId="531C7E56" w14:textId="77777777" w:rsidR="009D579E" w:rsidRPr="006F6651" w:rsidRDefault="009D579E" w:rsidP="009D579E">
      <w:pPr>
        <w:numPr>
          <w:ilvl w:val="0"/>
          <w:numId w:val="9"/>
        </w:numPr>
      </w:pPr>
      <w:r w:rsidRPr="006F6651">
        <w:t>Use of "time and material" type contracts instead of "cost plus a percentage of cost" pricing;</w:t>
      </w:r>
    </w:p>
    <w:p w14:paraId="07278329" w14:textId="77777777" w:rsidR="009D579E" w:rsidRPr="006F6651" w:rsidRDefault="009D579E" w:rsidP="009D579E">
      <w:pPr>
        <w:numPr>
          <w:ilvl w:val="0"/>
          <w:numId w:val="9"/>
        </w:numPr>
      </w:pPr>
      <w:r w:rsidRPr="006F6651">
        <w:t xml:space="preserve">Protest procedures for subcontractors and vendors to handle and resolve disputes relating to their procurement, and report all such instances to MOHCD; </w:t>
      </w:r>
    </w:p>
    <w:p w14:paraId="11DF6E2D" w14:textId="59FA8180" w:rsidR="009D579E" w:rsidRPr="006F6651" w:rsidRDefault="009D579E" w:rsidP="009D579E">
      <w:pPr>
        <w:numPr>
          <w:ilvl w:val="0"/>
          <w:numId w:val="9"/>
        </w:numPr>
      </w:pPr>
      <w:r w:rsidRPr="006F6651">
        <w:t xml:space="preserve">A documented system of contract administration for determining the adequacy of contractor performance; </w:t>
      </w:r>
      <w:r w:rsidR="00F33EBD">
        <w:t>and</w:t>
      </w:r>
    </w:p>
    <w:p w14:paraId="43926341" w14:textId="26F5FD28" w:rsidR="009D579E" w:rsidRPr="006F6651" w:rsidRDefault="009D579E" w:rsidP="009D579E">
      <w:pPr>
        <w:numPr>
          <w:ilvl w:val="0"/>
          <w:numId w:val="9"/>
        </w:numPr>
      </w:pPr>
      <w:r w:rsidRPr="006F6651">
        <w:lastRenderedPageBreak/>
        <w:t xml:space="preserve">Verification that the contractor and/or subcontractor complies with, and agrees to, all applicable HUD and City requirements as </w:t>
      </w:r>
      <w:r w:rsidR="00F33EBD">
        <w:t xml:space="preserve">set </w:t>
      </w:r>
      <w:r w:rsidRPr="006F6651">
        <w:t>forth in the Grant Agreement.</w:t>
      </w:r>
    </w:p>
    <w:p w14:paraId="61F68336" w14:textId="77777777" w:rsidR="009D579E" w:rsidRPr="006F6651" w:rsidRDefault="009D579E" w:rsidP="009D579E"/>
    <w:p w14:paraId="4A2DA573" w14:textId="2EF0DE76" w:rsidR="009D579E" w:rsidRPr="006F6651" w:rsidRDefault="009D579E" w:rsidP="009D579E"/>
    <w:p w14:paraId="5E347593" w14:textId="77777777" w:rsidR="003553DB" w:rsidRPr="006F6651" w:rsidRDefault="003553DB" w:rsidP="006B593E">
      <w:pPr>
        <w:rPr>
          <w:b/>
        </w:rPr>
      </w:pPr>
    </w:p>
    <w:p w14:paraId="1D8F5DE6" w14:textId="77777777" w:rsidR="003553DB" w:rsidRPr="006F6651" w:rsidRDefault="003553DB" w:rsidP="00583092">
      <w:pPr>
        <w:pStyle w:val="nor"/>
        <w:keepNext w:val="0"/>
        <w:outlineLvl w:val="9"/>
        <w:rPr>
          <w:bCs w:val="0"/>
        </w:rPr>
      </w:pPr>
    </w:p>
    <w:p w14:paraId="2011FDB3" w14:textId="3A016782" w:rsidR="00DC440A" w:rsidRPr="00F862A2" w:rsidRDefault="00DC440A">
      <w:pPr>
        <w:pStyle w:val="Heading1"/>
        <w:jc w:val="center"/>
        <w:rPr>
          <w:rFonts w:ascii="Times New Roman" w:hAnsi="Times New Roman"/>
          <w:sz w:val="32"/>
          <w:szCs w:val="32"/>
        </w:rPr>
      </w:pPr>
      <w:r w:rsidRPr="00F862A2">
        <w:rPr>
          <w:rFonts w:ascii="Times New Roman" w:hAnsi="Times New Roman"/>
          <w:sz w:val="32"/>
          <w:szCs w:val="32"/>
        </w:rPr>
        <w:t>CHAPTER V.  MONITORING</w:t>
      </w:r>
    </w:p>
    <w:p w14:paraId="6D3E77E5" w14:textId="77777777" w:rsidR="00DC440A" w:rsidRDefault="00DC440A" w:rsidP="00DC440A">
      <w:pPr>
        <w:pStyle w:val="Heading4"/>
        <w:spacing w:before="0" w:after="0"/>
        <w:rPr>
          <w:rFonts w:ascii="Times New Roman" w:hAnsi="Times New Roman"/>
        </w:rPr>
      </w:pPr>
      <w:r>
        <w:rPr>
          <w:rFonts w:ascii="Times New Roman" w:hAnsi="Times New Roman"/>
        </w:rPr>
        <w:t xml:space="preserve"> </w:t>
      </w:r>
    </w:p>
    <w:p w14:paraId="108A6B0E" w14:textId="22B960FC" w:rsidR="00DC440A" w:rsidRDefault="00AE20E9" w:rsidP="00DC440A">
      <w:pPr>
        <w:rPr>
          <w:szCs w:val="22"/>
        </w:rPr>
      </w:pPr>
      <w:r>
        <w:rPr>
          <w:szCs w:val="22"/>
        </w:rPr>
        <w:t>MOHCD monitors all grants, regardless of funding source, for progr</w:t>
      </w:r>
      <w:r w:rsidR="00D632A8">
        <w:rPr>
          <w:szCs w:val="22"/>
        </w:rPr>
        <w:t xml:space="preserve">ammatic and fiscal compliance. </w:t>
      </w:r>
      <w:r w:rsidR="00DC440A">
        <w:rPr>
          <w:szCs w:val="22"/>
        </w:rPr>
        <w:t xml:space="preserve">HUD </w:t>
      </w:r>
      <w:r>
        <w:rPr>
          <w:szCs w:val="22"/>
        </w:rPr>
        <w:t xml:space="preserve">also </w:t>
      </w:r>
      <w:r w:rsidR="004E137A">
        <w:rPr>
          <w:szCs w:val="22"/>
        </w:rPr>
        <w:t xml:space="preserve">specifically </w:t>
      </w:r>
      <w:r w:rsidR="00DC440A">
        <w:rPr>
          <w:szCs w:val="22"/>
        </w:rPr>
        <w:t>requires MOHCD</w:t>
      </w:r>
      <w:r>
        <w:rPr>
          <w:szCs w:val="22"/>
        </w:rPr>
        <w:t xml:space="preserve"> to monitor</w:t>
      </w:r>
      <w:r w:rsidR="00DC440A">
        <w:rPr>
          <w:szCs w:val="22"/>
        </w:rPr>
        <w:t xml:space="preserve"> grantees</w:t>
      </w:r>
      <w:r>
        <w:rPr>
          <w:szCs w:val="22"/>
        </w:rPr>
        <w:t xml:space="preserve"> receiving federal funds</w:t>
      </w:r>
      <w:r w:rsidR="00DC440A">
        <w:rPr>
          <w:szCs w:val="22"/>
        </w:rPr>
        <w:t xml:space="preserve"> to ensure adequacy and compliance wi</w:t>
      </w:r>
      <w:r w:rsidR="00422560">
        <w:rPr>
          <w:szCs w:val="22"/>
        </w:rPr>
        <w:t>th all applicable regulations. A</w:t>
      </w:r>
      <w:r w:rsidR="00DC440A" w:rsidRPr="00335DC0">
        <w:rPr>
          <w:szCs w:val="22"/>
        </w:rPr>
        <w:t xml:space="preserve"> grantee’s performance and organizational sustainability are key factors in</w:t>
      </w:r>
      <w:r w:rsidR="00DC440A">
        <w:rPr>
          <w:szCs w:val="22"/>
        </w:rPr>
        <w:t xml:space="preserve"> determining the continuation and/or renewal of the Grant Agreement.  </w:t>
      </w:r>
    </w:p>
    <w:p w14:paraId="2939AA11" w14:textId="77777777" w:rsidR="00AE20E9" w:rsidRDefault="00AE20E9" w:rsidP="00DC440A">
      <w:pPr>
        <w:rPr>
          <w:szCs w:val="22"/>
        </w:rPr>
      </w:pPr>
    </w:p>
    <w:p w14:paraId="243E0793" w14:textId="77777777" w:rsidR="00DC440A" w:rsidRPr="00F862A2" w:rsidRDefault="00C511BA" w:rsidP="00DC440A">
      <w:pPr>
        <w:pStyle w:val="Heading4"/>
        <w:numPr>
          <w:ilvl w:val="2"/>
          <w:numId w:val="11"/>
        </w:numPr>
        <w:tabs>
          <w:tab w:val="clear" w:pos="2700"/>
          <w:tab w:val="num" w:pos="720"/>
        </w:tabs>
        <w:spacing w:before="0" w:after="0"/>
        <w:ind w:left="720" w:hanging="540"/>
        <w:rPr>
          <w:rFonts w:ascii="Times New Roman" w:hAnsi="Times New Roman"/>
          <w:szCs w:val="22"/>
          <w:u w:val="single"/>
        </w:rPr>
      </w:pPr>
      <w:r w:rsidRPr="00F862A2">
        <w:rPr>
          <w:rFonts w:ascii="Times New Roman" w:hAnsi="Times New Roman"/>
          <w:szCs w:val="22"/>
          <w:u w:val="single"/>
        </w:rPr>
        <w:t>REPORTS</w:t>
      </w:r>
    </w:p>
    <w:p w14:paraId="7AB54B1F" w14:textId="77777777" w:rsidR="00DC440A" w:rsidRDefault="00DC440A" w:rsidP="00DC440A"/>
    <w:p w14:paraId="31DF7BE2" w14:textId="4E97E7C1" w:rsidR="00DC440A" w:rsidRDefault="00DC440A" w:rsidP="00DC440A">
      <w:r>
        <w:t>All grantees must submit mon</w:t>
      </w:r>
      <w:r w:rsidR="00422560">
        <w:t xml:space="preserve">thly program and cost reports </w:t>
      </w:r>
      <w:r w:rsidR="00AE20E9">
        <w:t>by the 15</w:t>
      </w:r>
      <w:r w:rsidR="00AE20E9" w:rsidRPr="006F6651">
        <w:rPr>
          <w:vertAlign w:val="superscript"/>
        </w:rPr>
        <w:t>th</w:t>
      </w:r>
      <w:r w:rsidR="00422560">
        <w:t xml:space="preserve"> of every</w:t>
      </w:r>
      <w:r w:rsidR="00AE20E9">
        <w:t xml:space="preserve"> month (for example, the report for July must be submitted by August 15</w:t>
      </w:r>
      <w:r w:rsidR="00AE20E9" w:rsidRPr="006F6651">
        <w:rPr>
          <w:vertAlign w:val="superscript"/>
        </w:rPr>
        <w:t>th</w:t>
      </w:r>
      <w:r w:rsidR="00AE20E9">
        <w:t>)</w:t>
      </w:r>
      <w:r w:rsidR="00422560">
        <w:t xml:space="preserve">. </w:t>
      </w:r>
      <w:r>
        <w:t>In limited circumstances, grantees may negotiate a different reporting schedule with their assigned Grant Coordinator</w:t>
      </w:r>
      <w:r w:rsidR="00AE20E9">
        <w:t xml:space="preserve"> (</w:t>
      </w:r>
      <w:r w:rsidR="00812E1E">
        <w:t xml:space="preserve">e.g., </w:t>
      </w:r>
      <w:r w:rsidR="00AE20E9">
        <w:t>if their fiscal team closes the organization’s books after the 15</w:t>
      </w:r>
      <w:r w:rsidR="00AE20E9" w:rsidRPr="006F6651">
        <w:rPr>
          <w:vertAlign w:val="superscript"/>
        </w:rPr>
        <w:t>th</w:t>
      </w:r>
      <w:r w:rsidR="00AE20E9">
        <w:t xml:space="preserve"> of the month</w:t>
      </w:r>
      <w:r>
        <w:t xml:space="preserve">).  MOHCD will only reimburse expenses upon receipt of </w:t>
      </w:r>
      <w:r w:rsidR="004E137A">
        <w:t xml:space="preserve">a complete monthly report (including current Activities and Outcome information for both Client Activities and Outcomes and Non-Client Activities, expenses, </w:t>
      </w:r>
      <w:r w:rsidR="004E137A" w:rsidRPr="00F862A2">
        <w:t>and narrative responses).</w:t>
      </w:r>
      <w:r w:rsidR="00422560">
        <w:t xml:space="preserve"> </w:t>
      </w:r>
      <w:r>
        <w:t xml:space="preserve">Incomplete or late reports will </w:t>
      </w:r>
      <w:r w:rsidR="00422560">
        <w:t xml:space="preserve">cause delays in reimbursement. </w:t>
      </w:r>
      <w:r>
        <w:t>Failure to comply with reporting requirements is a vio</w:t>
      </w:r>
      <w:r w:rsidR="00DD18AF">
        <w:t xml:space="preserve">lation of the </w:t>
      </w:r>
      <w:r w:rsidR="004430BE">
        <w:t>g</w:t>
      </w:r>
      <w:r w:rsidR="00DD18AF">
        <w:t xml:space="preserve">rant </w:t>
      </w:r>
      <w:r w:rsidR="004430BE">
        <w:t>a</w:t>
      </w:r>
      <w:r w:rsidR="00DD18AF">
        <w:t xml:space="preserve">greement. </w:t>
      </w:r>
    </w:p>
    <w:p w14:paraId="65A04F30" w14:textId="77777777" w:rsidR="00DC440A" w:rsidRDefault="00DC440A" w:rsidP="00DC440A">
      <w:pPr>
        <w:pStyle w:val="BodyText"/>
        <w:rPr>
          <w:szCs w:val="22"/>
        </w:rPr>
      </w:pPr>
    </w:p>
    <w:p w14:paraId="520AC638" w14:textId="77777777" w:rsidR="00DC440A" w:rsidRPr="00F862A2" w:rsidRDefault="00C511BA" w:rsidP="00DC440A">
      <w:pPr>
        <w:pStyle w:val="Heading4"/>
        <w:numPr>
          <w:ilvl w:val="2"/>
          <w:numId w:val="11"/>
        </w:numPr>
        <w:tabs>
          <w:tab w:val="clear" w:pos="2700"/>
          <w:tab w:val="num" w:pos="720"/>
        </w:tabs>
        <w:spacing w:before="0" w:after="0"/>
        <w:ind w:left="720" w:hanging="540"/>
        <w:rPr>
          <w:rFonts w:ascii="Times New Roman" w:hAnsi="Times New Roman"/>
          <w:bCs/>
          <w:szCs w:val="22"/>
          <w:u w:val="single"/>
        </w:rPr>
      </w:pPr>
      <w:r w:rsidRPr="00F862A2">
        <w:rPr>
          <w:rFonts w:ascii="Times New Roman" w:hAnsi="Times New Roman"/>
          <w:bCs/>
          <w:szCs w:val="22"/>
          <w:u w:val="single"/>
        </w:rPr>
        <w:t>REVIEW/SITE VISITS</w:t>
      </w:r>
    </w:p>
    <w:p w14:paraId="02632DC3" w14:textId="77777777" w:rsidR="00DC440A" w:rsidRDefault="00DC440A" w:rsidP="00DC440A"/>
    <w:p w14:paraId="19409DC6" w14:textId="2E584E57" w:rsidR="0063798F" w:rsidRDefault="0063798F" w:rsidP="0063798F">
      <w:pPr>
        <w:rPr>
          <w:szCs w:val="22"/>
        </w:rPr>
      </w:pPr>
      <w:r>
        <w:rPr>
          <w:szCs w:val="22"/>
        </w:rPr>
        <w:t xml:space="preserve">MOHCD staff will conduct regular monitoring of grantees to ensure compliance with local and federal requirements. This includes both Program Monitoring, to review client documentation and eligibility, along with program performance, and Fiscal and Compliance Monitoring. If a grantee receives funding from multiple City departments, the agency may be part of the </w:t>
      </w:r>
      <w:hyperlink r:id="rId19" w:history="1">
        <w:r w:rsidRPr="006D50E9">
          <w:rPr>
            <w:rStyle w:val="Hyperlink"/>
            <w:szCs w:val="22"/>
          </w:rPr>
          <w:t>Citywide Nonprofit Monitoring Program</w:t>
        </w:r>
      </w:hyperlink>
      <w:r>
        <w:rPr>
          <w:szCs w:val="22"/>
        </w:rPr>
        <w:t xml:space="preserve">. This means that all City funders will monitor the grantee’s fiscal management and compliance systems at the same time, through either a </w:t>
      </w:r>
      <w:r w:rsidRPr="003D316F">
        <w:t>core review or an expanded review. A core review is a subset of standards focused on the highest priority elements of the Citywide nonprofit monitoring program form. An expanded review</w:t>
      </w:r>
      <w:r>
        <w:t xml:space="preserve"> (formerly called a site-visit)</w:t>
      </w:r>
      <w:r w:rsidRPr="003D316F">
        <w:t xml:space="preserve"> includes a full review of the fiscal and compliance monitoring standards either by</w:t>
      </w:r>
      <w:r>
        <w:t xml:space="preserve"> electronic</w:t>
      </w:r>
      <w:r w:rsidRPr="003D316F">
        <w:t xml:space="preserve"> submission of required documentation from grantees or</w:t>
      </w:r>
      <w:r>
        <w:t xml:space="preserve"> an</w:t>
      </w:r>
      <w:r w:rsidRPr="003D316F">
        <w:t xml:space="preserve"> in-person site visit</w:t>
      </w:r>
      <w:r>
        <w:t xml:space="preserve"> review</w:t>
      </w:r>
      <w:r w:rsidRPr="003D316F">
        <w:t xml:space="preserve">. </w:t>
      </w:r>
      <w:r>
        <w:rPr>
          <w:szCs w:val="22"/>
        </w:rPr>
        <w:t xml:space="preserve">Each year, grantees’ MOHCD Grant Coordinator will </w:t>
      </w:r>
      <w:r w:rsidRPr="00422560">
        <w:rPr>
          <w:szCs w:val="22"/>
        </w:rPr>
        <w:t xml:space="preserve">inform </w:t>
      </w:r>
      <w:r>
        <w:rPr>
          <w:szCs w:val="22"/>
        </w:rPr>
        <w:t>them of</w:t>
      </w:r>
      <w:r w:rsidRPr="00422560">
        <w:rPr>
          <w:szCs w:val="22"/>
        </w:rPr>
        <w:t xml:space="preserve"> </w:t>
      </w:r>
      <w:r>
        <w:rPr>
          <w:szCs w:val="22"/>
        </w:rPr>
        <w:t xml:space="preserve">the type of Program Monitoring they will receive, and MOHCD’s </w:t>
      </w:r>
      <w:r w:rsidRPr="006D50E9">
        <w:rPr>
          <w:szCs w:val="22"/>
        </w:rPr>
        <w:t>Fiscal and Compliance Coordinator</w:t>
      </w:r>
      <w:r>
        <w:rPr>
          <w:szCs w:val="22"/>
        </w:rPr>
        <w:t xml:space="preserve"> (or another City monitor) will inform them of the type of Fiscal and Compliance Monitoring they will receive.  </w:t>
      </w:r>
    </w:p>
    <w:p w14:paraId="5EF170B9" w14:textId="77777777" w:rsidR="0063798F" w:rsidRDefault="0063798F" w:rsidP="0063798F">
      <w:pPr>
        <w:rPr>
          <w:szCs w:val="22"/>
        </w:rPr>
      </w:pPr>
    </w:p>
    <w:p w14:paraId="5B28A07B" w14:textId="55515698" w:rsidR="00DC440A" w:rsidRDefault="0063798F" w:rsidP="00DC440A">
      <w:pPr>
        <w:rPr>
          <w:szCs w:val="22"/>
        </w:rPr>
      </w:pPr>
      <w:r>
        <w:t xml:space="preserve">Grantees and programs </w:t>
      </w:r>
      <w:r w:rsidRPr="00EE606D">
        <w:t>that do not comply with funding requirements (i.e.</w:t>
      </w:r>
      <w:r>
        <w:t>,</w:t>
      </w:r>
      <w:r w:rsidRPr="00EE606D">
        <w:t xml:space="preserve"> have </w:t>
      </w:r>
      <w:r>
        <w:t xml:space="preserve">programmatic and/or fiscal and compliance </w:t>
      </w:r>
      <w:r w:rsidRPr="00EE606D">
        <w:t xml:space="preserve">findings) </w:t>
      </w:r>
      <w:r>
        <w:t xml:space="preserve">will receive a follow-up letter outlining recommended </w:t>
      </w:r>
    </w:p>
    <w:p w14:paraId="40A17BC8" w14:textId="63CC8B62" w:rsidR="00DC440A" w:rsidRDefault="00DC440A" w:rsidP="00DC440A">
      <w:r>
        <w:lastRenderedPageBreak/>
        <w:t xml:space="preserve">Grantees </w:t>
      </w:r>
      <w:r w:rsidR="00EE606D">
        <w:t xml:space="preserve">and programs </w:t>
      </w:r>
      <w:r w:rsidR="00EE606D" w:rsidRPr="00EE606D">
        <w:t xml:space="preserve">that </w:t>
      </w:r>
      <w:r w:rsidR="00422560" w:rsidRPr="00EE606D">
        <w:t>do not comply</w:t>
      </w:r>
      <w:r w:rsidR="00EE606D" w:rsidRPr="00EE606D">
        <w:t xml:space="preserve"> with funding requirements (i.e.</w:t>
      </w:r>
      <w:r w:rsidR="004430BE">
        <w:t>,</w:t>
      </w:r>
      <w:r w:rsidR="00EE606D" w:rsidRPr="00EE606D">
        <w:t xml:space="preserve"> have </w:t>
      </w:r>
      <w:r w:rsidR="00422560">
        <w:t xml:space="preserve">programmatic and/or fiscal and compliance </w:t>
      </w:r>
      <w:r w:rsidR="00EE606D" w:rsidRPr="00EE606D">
        <w:t xml:space="preserve">findings) </w:t>
      </w:r>
      <w:r w:rsidR="00EE606D">
        <w:t>will receive a follow-</w:t>
      </w:r>
      <w:r>
        <w:t>up letter outlining recommended corrective actions and a time</w:t>
      </w:r>
      <w:r w:rsidR="00EE606D">
        <w:t xml:space="preserve">line for implementing </w:t>
      </w:r>
      <w:r w:rsidR="008E1446">
        <w:t xml:space="preserve">proposed </w:t>
      </w:r>
      <w:r w:rsidR="00422560">
        <w:t>changes. We will prioritize g</w:t>
      </w:r>
      <w:r w:rsidR="00EE606D">
        <w:t xml:space="preserve">rantees and programs </w:t>
      </w:r>
      <w:r w:rsidR="008E1446">
        <w:t xml:space="preserve">with findings </w:t>
      </w:r>
      <w:r w:rsidR="00EE606D" w:rsidRPr="00EE606D">
        <w:t>for capacity building and technical assistance support</w:t>
      </w:r>
      <w:r w:rsidR="00EE606D">
        <w:t>.</w:t>
      </w:r>
      <w:r w:rsidR="00EE606D" w:rsidRPr="00EE606D">
        <w:t xml:space="preserve"> </w:t>
      </w:r>
      <w:r w:rsidR="00422560">
        <w:t xml:space="preserve">We may ask grantee and/or program leadership to meet with MOHCD leadership and staff </w:t>
      </w:r>
      <w:r w:rsidR="00CE71A6" w:rsidRPr="00CE71A6">
        <w:t xml:space="preserve">to determine appropriate next steps </w:t>
      </w:r>
      <w:r w:rsidR="00CE71A6">
        <w:t xml:space="preserve">in the case of </w:t>
      </w:r>
      <w:r w:rsidR="004B1E14">
        <w:t xml:space="preserve">repeated findings and/or areas of significant concern. </w:t>
      </w:r>
      <w:r w:rsidR="00CE71A6">
        <w:t>If the areas of concern</w:t>
      </w:r>
      <w:r w:rsidR="0076160C">
        <w:t xml:space="preserve"> are significant enough, </w:t>
      </w:r>
      <w:r w:rsidR="00CE71A6">
        <w:t xml:space="preserve">we may withhold </w:t>
      </w:r>
      <w:r w:rsidR="0076160C">
        <w:t>f</w:t>
      </w:r>
      <w:r w:rsidR="004B1E14">
        <w:t>inancial reimbursements and</w:t>
      </w:r>
      <w:r w:rsidR="0076160C">
        <w:t>/or</w:t>
      </w:r>
      <w:r w:rsidR="00CE71A6">
        <w:t xml:space="preserve"> terminate the</w:t>
      </w:r>
      <w:r w:rsidR="004B1E14">
        <w:t xml:space="preserve"> g</w:t>
      </w:r>
      <w:r w:rsidR="00CE71A6">
        <w:t>rant agreement</w:t>
      </w:r>
      <w:r w:rsidR="00F23323">
        <w:t xml:space="preserve">. </w:t>
      </w:r>
      <w:r>
        <w:t>For further detail, review Article</w:t>
      </w:r>
      <w:r w:rsidRPr="006F6651">
        <w:t xml:space="preserve"> </w:t>
      </w:r>
      <w:r w:rsidRPr="00335DC0">
        <w:t>Fourte</w:t>
      </w:r>
      <w:r w:rsidRPr="001C5C8E">
        <w:t xml:space="preserve">en </w:t>
      </w:r>
      <w:r w:rsidR="001C5C8E" w:rsidRPr="001C5C8E">
        <w:t xml:space="preserve">(Events of Default and Remedies) </w:t>
      </w:r>
      <w:r w:rsidR="00F23323" w:rsidRPr="001C5C8E">
        <w:t>of t</w:t>
      </w:r>
      <w:r w:rsidR="00F23323">
        <w:t xml:space="preserve">he </w:t>
      </w:r>
      <w:r w:rsidR="004430BE">
        <w:t>g</w:t>
      </w:r>
      <w:r w:rsidR="00F23323">
        <w:t xml:space="preserve">rant </w:t>
      </w:r>
      <w:r w:rsidR="004430BE">
        <w:t>a</w:t>
      </w:r>
      <w:r w:rsidR="00F23323">
        <w:t>greement</w:t>
      </w:r>
      <w:r>
        <w:t xml:space="preserve">.  </w:t>
      </w:r>
    </w:p>
    <w:p w14:paraId="3DFB0A22" w14:textId="086E9AA5" w:rsidR="001C5C8E" w:rsidRDefault="001C5C8E" w:rsidP="00DC440A"/>
    <w:p w14:paraId="162F706E" w14:textId="470DA786" w:rsidR="001C5C8E" w:rsidRDefault="001C5C8E" w:rsidP="00DC440A"/>
    <w:p w14:paraId="71E0A3C8" w14:textId="77777777" w:rsidR="001C5C8E" w:rsidRDefault="001C5C8E" w:rsidP="00DC440A"/>
    <w:p w14:paraId="0E166D1E" w14:textId="77777777" w:rsidR="00DC440A" w:rsidRDefault="00DC440A" w:rsidP="00DC440A">
      <w:pPr>
        <w:pStyle w:val="BodyText"/>
        <w:rPr>
          <w:szCs w:val="22"/>
        </w:rPr>
      </w:pPr>
    </w:p>
    <w:p w14:paraId="0D64D9FD" w14:textId="77777777" w:rsidR="00DC440A" w:rsidRPr="00F862A2" w:rsidRDefault="00C511BA" w:rsidP="00DC440A">
      <w:pPr>
        <w:pStyle w:val="BodyText"/>
        <w:numPr>
          <w:ilvl w:val="2"/>
          <w:numId w:val="11"/>
        </w:numPr>
        <w:tabs>
          <w:tab w:val="clear" w:pos="2700"/>
          <w:tab w:val="num" w:pos="720"/>
        </w:tabs>
        <w:ind w:left="720" w:hanging="540"/>
        <w:rPr>
          <w:b/>
          <w:bCs/>
          <w:szCs w:val="22"/>
          <w:u w:val="single"/>
        </w:rPr>
      </w:pPr>
      <w:r w:rsidRPr="00F862A2">
        <w:rPr>
          <w:b/>
          <w:bCs/>
          <w:szCs w:val="22"/>
          <w:u w:val="single"/>
        </w:rPr>
        <w:t xml:space="preserve">JOINT ACCOUNTABILITY </w:t>
      </w:r>
    </w:p>
    <w:p w14:paraId="710B7A53" w14:textId="77777777" w:rsidR="00DC440A" w:rsidRDefault="00DC440A" w:rsidP="00DC440A">
      <w:pPr>
        <w:pStyle w:val="BodyText"/>
        <w:rPr>
          <w:b/>
          <w:bCs/>
          <w:szCs w:val="22"/>
        </w:rPr>
      </w:pPr>
    </w:p>
    <w:p w14:paraId="6060C3ED" w14:textId="390C218B" w:rsidR="00DC440A" w:rsidRDefault="00DC440A" w:rsidP="00DC440A">
      <w:pPr>
        <w:pStyle w:val="BodyText"/>
        <w:rPr>
          <w:szCs w:val="22"/>
        </w:rPr>
      </w:pPr>
      <w:r>
        <w:rPr>
          <w:szCs w:val="22"/>
        </w:rPr>
        <w:t>During the program year, the MOHCD Grant Coordinator will work with their assigned organizations to ensure that they are meeting program</w:t>
      </w:r>
      <w:r w:rsidR="001C5C8E">
        <w:rPr>
          <w:szCs w:val="22"/>
        </w:rPr>
        <w:t>matic</w:t>
      </w:r>
      <w:r>
        <w:rPr>
          <w:szCs w:val="22"/>
        </w:rPr>
        <w:t xml:space="preserve"> goals and obje</w:t>
      </w:r>
      <w:r w:rsidR="001C5C8E">
        <w:rPr>
          <w:szCs w:val="22"/>
        </w:rPr>
        <w:t>ctives and MOHCD</w:t>
      </w:r>
      <w:r w:rsidR="00A93935">
        <w:rPr>
          <w:szCs w:val="22"/>
        </w:rPr>
        <w:t>’s</w:t>
      </w:r>
      <w:r w:rsidR="001C5C8E">
        <w:rPr>
          <w:szCs w:val="22"/>
        </w:rPr>
        <w:t xml:space="preserve"> expectations. </w:t>
      </w:r>
      <w:r>
        <w:rPr>
          <w:szCs w:val="22"/>
        </w:rPr>
        <w:t xml:space="preserve">The Grant Coordinator will review performance and check that grantees are meeting monthly deadlines.  </w:t>
      </w:r>
    </w:p>
    <w:p w14:paraId="7B494C03" w14:textId="77777777" w:rsidR="00DC440A" w:rsidRDefault="00DC440A" w:rsidP="00DC440A">
      <w:pPr>
        <w:pStyle w:val="BodyText"/>
        <w:rPr>
          <w:szCs w:val="22"/>
        </w:rPr>
      </w:pPr>
    </w:p>
    <w:p w14:paraId="45F60507" w14:textId="77777777" w:rsidR="00DC440A" w:rsidRDefault="00DC440A" w:rsidP="00DC440A">
      <w:pPr>
        <w:pStyle w:val="BodyText"/>
        <w:rPr>
          <w:szCs w:val="22"/>
        </w:rPr>
      </w:pPr>
      <w:r>
        <w:rPr>
          <w:szCs w:val="22"/>
        </w:rPr>
        <w:t>The Grant Coordinator will review the following items:</w:t>
      </w:r>
    </w:p>
    <w:p w14:paraId="0A2BB3CA" w14:textId="367A76E9" w:rsidR="00DC440A" w:rsidRDefault="00DC440A" w:rsidP="00DC440A">
      <w:pPr>
        <w:pStyle w:val="BodyText"/>
        <w:numPr>
          <w:ilvl w:val="3"/>
          <w:numId w:val="11"/>
        </w:numPr>
        <w:tabs>
          <w:tab w:val="clear" w:pos="3240"/>
          <w:tab w:val="num" w:pos="1080"/>
        </w:tabs>
        <w:ind w:left="1080"/>
        <w:rPr>
          <w:szCs w:val="22"/>
        </w:rPr>
      </w:pPr>
      <w:r>
        <w:rPr>
          <w:szCs w:val="22"/>
        </w:rPr>
        <w:t xml:space="preserve">Timeliness and </w:t>
      </w:r>
      <w:r w:rsidR="00FC25B2">
        <w:rPr>
          <w:szCs w:val="22"/>
        </w:rPr>
        <w:t>accuracy of reporting – on</w:t>
      </w:r>
      <w:r>
        <w:rPr>
          <w:szCs w:val="22"/>
        </w:rPr>
        <w:t>line submission of monthly reports by the 15</w:t>
      </w:r>
      <w:r>
        <w:rPr>
          <w:szCs w:val="22"/>
          <w:vertAlign w:val="superscript"/>
        </w:rPr>
        <w:t>th</w:t>
      </w:r>
      <w:r w:rsidR="00FC25B2">
        <w:rPr>
          <w:szCs w:val="22"/>
        </w:rPr>
        <w:t xml:space="preserve"> of every month. </w:t>
      </w:r>
      <w:r>
        <w:rPr>
          <w:szCs w:val="22"/>
        </w:rPr>
        <w:t>Required supporting documents may also include, at the discretion of the grant coordinator:</w:t>
      </w:r>
    </w:p>
    <w:p w14:paraId="499D027B" w14:textId="77777777" w:rsidR="00DC440A" w:rsidRDefault="00DC440A" w:rsidP="00DC440A">
      <w:pPr>
        <w:pStyle w:val="BodyText"/>
        <w:numPr>
          <w:ilvl w:val="4"/>
          <w:numId w:val="11"/>
        </w:numPr>
        <w:tabs>
          <w:tab w:val="clear" w:pos="3960"/>
          <w:tab w:val="num" w:pos="1800"/>
        </w:tabs>
        <w:ind w:left="1800"/>
        <w:rPr>
          <w:szCs w:val="22"/>
        </w:rPr>
      </w:pPr>
      <w:r>
        <w:rPr>
          <w:szCs w:val="22"/>
        </w:rPr>
        <w:t>Payroll register (for any staffing costs)</w:t>
      </w:r>
    </w:p>
    <w:p w14:paraId="27750812" w14:textId="77777777" w:rsidR="00DC440A" w:rsidRDefault="00DC440A" w:rsidP="00DC440A">
      <w:pPr>
        <w:pStyle w:val="BodyText"/>
        <w:numPr>
          <w:ilvl w:val="4"/>
          <w:numId w:val="11"/>
        </w:numPr>
        <w:tabs>
          <w:tab w:val="clear" w:pos="3960"/>
          <w:tab w:val="num" w:pos="1800"/>
        </w:tabs>
        <w:ind w:left="1800"/>
        <w:rPr>
          <w:szCs w:val="22"/>
        </w:rPr>
      </w:pPr>
      <w:r>
        <w:rPr>
          <w:szCs w:val="22"/>
        </w:rPr>
        <w:t>Payroll tax returns (quarterly; if CDBG pays for staff)</w:t>
      </w:r>
    </w:p>
    <w:p w14:paraId="4FC356C8" w14:textId="63BD6D5C" w:rsidR="00DC440A" w:rsidRDefault="00FC25B2" w:rsidP="00DC440A">
      <w:pPr>
        <w:pStyle w:val="BodyText"/>
        <w:numPr>
          <w:ilvl w:val="3"/>
          <w:numId w:val="11"/>
        </w:numPr>
        <w:tabs>
          <w:tab w:val="clear" w:pos="3240"/>
          <w:tab w:val="num" w:pos="1080"/>
        </w:tabs>
        <w:ind w:left="1080"/>
        <w:rPr>
          <w:szCs w:val="22"/>
        </w:rPr>
      </w:pPr>
      <w:r>
        <w:rPr>
          <w:szCs w:val="22"/>
        </w:rPr>
        <w:t xml:space="preserve">Year-to-date payment requests </w:t>
      </w:r>
      <w:r w:rsidR="00DC440A">
        <w:rPr>
          <w:szCs w:val="22"/>
        </w:rPr>
        <w:t xml:space="preserve">generally should </w:t>
      </w:r>
      <w:r>
        <w:rPr>
          <w:szCs w:val="22"/>
        </w:rPr>
        <w:t xml:space="preserve">not vary by </w:t>
      </w:r>
      <w:r w:rsidR="00DC440A">
        <w:rPr>
          <w:szCs w:val="22"/>
        </w:rPr>
        <w:t xml:space="preserve">more than a month from the pro-rated year-to-date amount; exceptions include high start-up costs such as </w:t>
      </w:r>
      <w:r>
        <w:rPr>
          <w:szCs w:val="22"/>
        </w:rPr>
        <w:t xml:space="preserve">the </w:t>
      </w:r>
      <w:r w:rsidR="00DC440A">
        <w:rPr>
          <w:szCs w:val="22"/>
        </w:rPr>
        <w:t xml:space="preserve">purchase of equipment.   </w:t>
      </w:r>
    </w:p>
    <w:p w14:paraId="13E511FF" w14:textId="216F9D67" w:rsidR="00DC440A" w:rsidRDefault="00F91A3B" w:rsidP="00DC440A">
      <w:pPr>
        <w:pStyle w:val="BodyText"/>
        <w:numPr>
          <w:ilvl w:val="3"/>
          <w:numId w:val="11"/>
        </w:numPr>
        <w:tabs>
          <w:tab w:val="clear" w:pos="3240"/>
          <w:tab w:val="num" w:pos="1080"/>
        </w:tabs>
        <w:ind w:left="1080"/>
        <w:rPr>
          <w:szCs w:val="22"/>
        </w:rPr>
      </w:pPr>
      <w:r>
        <w:rPr>
          <w:szCs w:val="22"/>
        </w:rPr>
        <w:t>Year</w:t>
      </w:r>
      <w:r w:rsidR="00DC440A">
        <w:rPr>
          <w:szCs w:val="22"/>
        </w:rPr>
        <w:t>-to-date completion percentage for activities should generally reflect a 10% in</w:t>
      </w:r>
      <w:r w:rsidR="00FC25B2">
        <w:rPr>
          <w:szCs w:val="22"/>
        </w:rPr>
        <w:t>crease from the previous month.</w:t>
      </w:r>
    </w:p>
    <w:p w14:paraId="55F02739" w14:textId="7A05E002" w:rsidR="00DC440A" w:rsidRDefault="00DC440A" w:rsidP="00DC440A">
      <w:pPr>
        <w:pStyle w:val="BodyText"/>
        <w:numPr>
          <w:ilvl w:val="3"/>
          <w:numId w:val="11"/>
        </w:numPr>
        <w:tabs>
          <w:tab w:val="clear" w:pos="3240"/>
          <w:tab w:val="num" w:pos="1080"/>
        </w:tabs>
        <w:ind w:left="1080"/>
        <w:rPr>
          <w:szCs w:val="22"/>
        </w:rPr>
      </w:pPr>
      <w:r>
        <w:rPr>
          <w:szCs w:val="22"/>
        </w:rPr>
        <w:t>Any significant changes within the organization</w:t>
      </w:r>
      <w:r w:rsidR="00FC25B2">
        <w:rPr>
          <w:szCs w:val="22"/>
        </w:rPr>
        <w:t>,</w:t>
      </w:r>
      <w:r>
        <w:rPr>
          <w:szCs w:val="22"/>
        </w:rPr>
        <w:t xml:space="preserve"> such a</w:t>
      </w:r>
      <w:r w:rsidR="009B0622">
        <w:rPr>
          <w:szCs w:val="22"/>
        </w:rPr>
        <w:t>s</w:t>
      </w:r>
      <w:r>
        <w:rPr>
          <w:szCs w:val="22"/>
        </w:rPr>
        <w:t xml:space="preserve"> high staff turnover. </w:t>
      </w:r>
    </w:p>
    <w:p w14:paraId="791D8966" w14:textId="77777777" w:rsidR="00DC440A" w:rsidRDefault="00DC440A" w:rsidP="00DC440A">
      <w:pPr>
        <w:pStyle w:val="BodyText"/>
        <w:ind w:left="360"/>
        <w:rPr>
          <w:szCs w:val="22"/>
        </w:rPr>
      </w:pPr>
    </w:p>
    <w:p w14:paraId="7D2D0A22" w14:textId="77777777" w:rsidR="00DC440A" w:rsidRDefault="00DC440A" w:rsidP="00DC440A">
      <w:pPr>
        <w:pStyle w:val="BodyText"/>
        <w:ind w:left="360"/>
        <w:rPr>
          <w:szCs w:val="22"/>
        </w:rPr>
      </w:pPr>
      <w:r>
        <w:rPr>
          <w:szCs w:val="22"/>
        </w:rPr>
        <w:t xml:space="preserve">If the Grant Coordinator has any concerns regarding the grantee, they will follow the following procedures.  </w:t>
      </w:r>
    </w:p>
    <w:p w14:paraId="43EAB2C3" w14:textId="77777777" w:rsidR="00DC440A" w:rsidRDefault="00DC440A" w:rsidP="00DC440A">
      <w:pPr>
        <w:pStyle w:val="BodyText"/>
        <w:ind w:left="360"/>
        <w:rPr>
          <w:sz w:val="18"/>
          <w:szCs w:val="22"/>
        </w:rPr>
      </w:pPr>
    </w:p>
    <w:p w14:paraId="1DD8B8C9" w14:textId="1D0994C2" w:rsidR="00DC440A" w:rsidRDefault="00DC440A" w:rsidP="00DC440A">
      <w:pPr>
        <w:pStyle w:val="BodyText"/>
        <w:ind w:left="360"/>
        <w:rPr>
          <w:szCs w:val="22"/>
        </w:rPr>
      </w:pPr>
      <w:r>
        <w:rPr>
          <w:b/>
          <w:szCs w:val="22"/>
        </w:rPr>
        <w:t>Step 1</w:t>
      </w:r>
      <w:r w:rsidR="00FC25B2">
        <w:rPr>
          <w:szCs w:val="22"/>
        </w:rPr>
        <w:t xml:space="preserve">: </w:t>
      </w:r>
      <w:r>
        <w:rPr>
          <w:szCs w:val="22"/>
        </w:rPr>
        <w:t>During the monthly review, if any concerns arise, the MOHCD Grant Coordinator will call the orga</w:t>
      </w:r>
      <w:r w:rsidR="00FC25B2">
        <w:rPr>
          <w:szCs w:val="22"/>
        </w:rPr>
        <w:t>nization to discuss the issue. The Grant Coordinator will document t</w:t>
      </w:r>
      <w:r>
        <w:rPr>
          <w:szCs w:val="22"/>
        </w:rPr>
        <w:t xml:space="preserve">he phone conversation </w:t>
      </w:r>
      <w:r w:rsidR="00FC25B2">
        <w:rPr>
          <w:szCs w:val="22"/>
        </w:rPr>
        <w:t xml:space="preserve">in the grantee’s file. </w:t>
      </w:r>
      <w:r>
        <w:rPr>
          <w:szCs w:val="22"/>
        </w:rPr>
        <w:t xml:space="preserve">The Grant Coordinator will also follow-up with an email message that summarizes the issues to </w:t>
      </w:r>
      <w:r w:rsidR="00FC25B2">
        <w:rPr>
          <w:szCs w:val="22"/>
        </w:rPr>
        <w:t>address</w:t>
      </w:r>
      <w:r>
        <w:rPr>
          <w:szCs w:val="22"/>
        </w:rPr>
        <w:t xml:space="preserve"> and give</w:t>
      </w:r>
      <w:r w:rsidR="00FC25B2">
        <w:rPr>
          <w:szCs w:val="22"/>
        </w:rPr>
        <w:t>s</w:t>
      </w:r>
      <w:r>
        <w:rPr>
          <w:szCs w:val="22"/>
        </w:rPr>
        <w:t xml:space="preserve"> a timeframe for action. </w:t>
      </w:r>
    </w:p>
    <w:p w14:paraId="1E35B79C" w14:textId="77777777" w:rsidR="00DC440A" w:rsidRDefault="00DC440A" w:rsidP="00DC440A">
      <w:pPr>
        <w:pStyle w:val="BodyText"/>
        <w:ind w:left="360"/>
        <w:rPr>
          <w:sz w:val="18"/>
          <w:szCs w:val="22"/>
        </w:rPr>
      </w:pPr>
    </w:p>
    <w:p w14:paraId="0DD1A52E" w14:textId="332ACDA0" w:rsidR="00DC440A" w:rsidRPr="00335DC0" w:rsidRDefault="00DC440A" w:rsidP="00DC440A">
      <w:pPr>
        <w:pStyle w:val="BodyText"/>
        <w:ind w:left="360"/>
        <w:rPr>
          <w:szCs w:val="22"/>
        </w:rPr>
      </w:pPr>
      <w:r>
        <w:rPr>
          <w:b/>
          <w:szCs w:val="22"/>
        </w:rPr>
        <w:t>Step 2</w:t>
      </w:r>
      <w:r w:rsidR="00FC25B2">
        <w:rPr>
          <w:szCs w:val="22"/>
        </w:rPr>
        <w:t xml:space="preserve">: </w:t>
      </w:r>
      <w:r>
        <w:rPr>
          <w:szCs w:val="22"/>
        </w:rPr>
        <w:t xml:space="preserve">If the Grant Coordinator sees that the issues have not been addressed within the expected timeframe, MOHCD will follow the </w:t>
      </w:r>
      <w:r w:rsidRPr="00335DC0">
        <w:rPr>
          <w:szCs w:val="22"/>
        </w:rPr>
        <w:t>City and County of San Francisco Nonprofit Contractor Corrective Act</w:t>
      </w:r>
      <w:r w:rsidR="00FC25B2">
        <w:rPr>
          <w:szCs w:val="22"/>
        </w:rPr>
        <w:t xml:space="preserve">ion Policy as described below. </w:t>
      </w:r>
      <w:r w:rsidR="00AE20E9" w:rsidRPr="00335DC0">
        <w:rPr>
          <w:szCs w:val="22"/>
        </w:rPr>
        <w:t>MOHCD</w:t>
      </w:r>
      <w:r w:rsidRPr="00335DC0">
        <w:rPr>
          <w:szCs w:val="22"/>
        </w:rPr>
        <w:t xml:space="preserve"> strongly encourages grantees and Grant Coordinators to have constant communication so issues are</w:t>
      </w:r>
      <w:r w:rsidR="00FC25B2">
        <w:rPr>
          <w:szCs w:val="22"/>
        </w:rPr>
        <w:t xml:space="preserve"> addressed in a timely manner. </w:t>
      </w:r>
      <w:r w:rsidRPr="00335DC0">
        <w:rPr>
          <w:szCs w:val="22"/>
        </w:rPr>
        <w:t xml:space="preserve">Grantees should inform their Grant Coordinators of any technical assistance needs to successfully execute their work plan.    </w:t>
      </w:r>
    </w:p>
    <w:p w14:paraId="3EBA9075" w14:textId="77777777" w:rsidR="00DC440A" w:rsidRPr="00335DC0" w:rsidRDefault="00DC440A" w:rsidP="00DC440A">
      <w:pPr>
        <w:rPr>
          <w:b/>
          <w:bCs/>
          <w:sz w:val="22"/>
          <w:szCs w:val="22"/>
        </w:rPr>
      </w:pPr>
    </w:p>
    <w:p w14:paraId="16449B91" w14:textId="77777777" w:rsidR="00DC440A" w:rsidRPr="00F862A2" w:rsidRDefault="00C511BA" w:rsidP="00DC440A">
      <w:pPr>
        <w:pStyle w:val="BodyText"/>
        <w:numPr>
          <w:ilvl w:val="2"/>
          <w:numId w:val="11"/>
        </w:numPr>
        <w:tabs>
          <w:tab w:val="clear" w:pos="2700"/>
          <w:tab w:val="num" w:pos="720"/>
        </w:tabs>
        <w:ind w:left="720" w:hanging="540"/>
        <w:rPr>
          <w:b/>
          <w:bCs/>
          <w:szCs w:val="24"/>
          <w:u w:val="single"/>
        </w:rPr>
      </w:pPr>
      <w:r w:rsidRPr="00F862A2">
        <w:rPr>
          <w:b/>
          <w:szCs w:val="24"/>
          <w:u w:val="single"/>
        </w:rPr>
        <w:t>CITY AND COUNTY OF SAN FRANCISCO NONPROFIT CONTRACTOR CORRECTIVE ACTION POLICY</w:t>
      </w:r>
    </w:p>
    <w:p w14:paraId="6110D2F4" w14:textId="77777777" w:rsidR="00DC440A" w:rsidRPr="00335DC0" w:rsidRDefault="00DC440A" w:rsidP="00DC440A">
      <w:pPr>
        <w:pStyle w:val="BodyText"/>
        <w:ind w:left="720"/>
        <w:rPr>
          <w:b/>
          <w:bCs/>
          <w:szCs w:val="24"/>
        </w:rPr>
      </w:pPr>
    </w:p>
    <w:p w14:paraId="5D79CD34" w14:textId="74E21807" w:rsidR="00DC440A" w:rsidRPr="00335DC0" w:rsidRDefault="00DC440A" w:rsidP="00DC440A">
      <w:r w:rsidRPr="00335DC0">
        <w:rPr>
          <w:b/>
        </w:rPr>
        <w:t xml:space="preserve">Definition </w:t>
      </w:r>
      <w:r w:rsidR="00FC25B2">
        <w:t>–</w:t>
      </w:r>
      <w:r w:rsidRPr="00335DC0">
        <w:t xml:space="preserve"> </w:t>
      </w:r>
      <w:r w:rsidR="00FC25B2">
        <w:t>City departments require c</w:t>
      </w:r>
      <w:r w:rsidRPr="00335DC0">
        <w:t>orrective action</w:t>
      </w:r>
      <w:r w:rsidR="00FC25B2">
        <w:t>(s)</w:t>
      </w:r>
      <w:r w:rsidRPr="00335DC0">
        <w:t xml:space="preserve"> when a nonprofit has failed to demonstra</w:t>
      </w:r>
      <w:r w:rsidR="00FC25B2">
        <w:t>te compliance with performance/</w:t>
      </w:r>
      <w:r w:rsidRPr="00335DC0">
        <w:t xml:space="preserve">monitoring standards laid out in the scope of work </w:t>
      </w:r>
      <w:r w:rsidR="00FC25B2">
        <w:t xml:space="preserve">and grant agreement. </w:t>
      </w:r>
      <w:r w:rsidRPr="00335DC0">
        <w:t xml:space="preserve">This includes </w:t>
      </w:r>
      <w:r w:rsidR="00FC25B2">
        <w:t>an</w:t>
      </w:r>
      <w:r w:rsidRPr="00335DC0">
        <w:t xml:space="preserve"> inability to provide requested documentatio</w:t>
      </w:r>
      <w:r w:rsidR="00FC25B2">
        <w:t xml:space="preserve">n within a required timeframe. </w:t>
      </w:r>
      <w:r w:rsidRPr="00335DC0">
        <w:t>A clear corrective action process is necessary to ensure nonprofit accountability, compliance with state and federal funding sources, and regular service delivery for San Francisco residents.</w:t>
      </w:r>
    </w:p>
    <w:p w14:paraId="24C239AE" w14:textId="77777777" w:rsidR="00DC440A" w:rsidRPr="00335DC0" w:rsidRDefault="00DC440A" w:rsidP="00DC440A">
      <w:pPr>
        <w:ind w:left="360"/>
      </w:pPr>
    </w:p>
    <w:p w14:paraId="4A2B905E" w14:textId="32F5198F" w:rsidR="00DC440A" w:rsidRPr="00335DC0" w:rsidRDefault="00DC440A" w:rsidP="00DC440A">
      <w:r w:rsidRPr="00335DC0">
        <w:rPr>
          <w:b/>
        </w:rPr>
        <w:t>Documentation</w:t>
      </w:r>
      <w:r w:rsidRPr="00335DC0">
        <w:t xml:space="preserve"> – MOHCD will document all monitoring activities in writing to the nonprofit service provider, including when a monitoring assessment is conducted and no findings are </w:t>
      </w:r>
      <w:r w:rsidR="00B551B4">
        <w:t xml:space="preserve">identified. </w:t>
      </w:r>
      <w:r w:rsidRPr="00335DC0">
        <w:t>MOHCD will document the need for corre</w:t>
      </w:r>
      <w:r w:rsidR="00B551B4">
        <w:t>ctive action on program, fiscal</w:t>
      </w:r>
      <w:r w:rsidRPr="00335DC0">
        <w:t xml:space="preserve"> or compliance concerns in writing to t</w:t>
      </w:r>
      <w:r w:rsidR="00B551B4">
        <w:t xml:space="preserve">he nonprofit service provider. </w:t>
      </w:r>
      <w:r w:rsidRPr="00335DC0">
        <w:t>This documentation will take place within six weeks</w:t>
      </w:r>
      <w:r w:rsidRPr="00335DC0">
        <w:rPr>
          <w:color w:val="FF0000"/>
        </w:rPr>
        <w:t xml:space="preserve"> </w:t>
      </w:r>
      <w:r w:rsidRPr="00335DC0">
        <w:t xml:space="preserve">of the monitoring assessment and will include a </w:t>
      </w:r>
      <w:r w:rsidR="00B551B4" w:rsidRPr="00335DC0">
        <w:t>letter that</w:t>
      </w:r>
      <w:r w:rsidRPr="00335DC0">
        <w:t xml:space="preserve"> lists monitoring findings, states the corrective action needed, and sets a </w:t>
      </w:r>
      <w:r w:rsidR="00B551B4" w:rsidRPr="00335DC0">
        <w:t>one-month</w:t>
      </w:r>
      <w:r w:rsidRPr="00335DC0">
        <w:t xml:space="preserve"> deadline for require</w:t>
      </w:r>
      <w:r w:rsidR="00B551B4">
        <w:t xml:space="preserve">d response from the nonprofit. </w:t>
      </w:r>
      <w:r w:rsidRPr="00335DC0">
        <w:t>The nonprofit need not necessarily remedy all issues identified within one month, but the nonprofit must respond with a corrective action plan deemed reasonable b</w:t>
      </w:r>
      <w:r w:rsidR="00B551B4">
        <w:t xml:space="preserve">y MOHCD within that timeframe. </w:t>
      </w:r>
      <w:r w:rsidRPr="00335DC0">
        <w:t>This corrective action plan must also include a timeline for full implementation that MOHCD deems reasonable.</w:t>
      </w:r>
    </w:p>
    <w:p w14:paraId="044E3CEB" w14:textId="77777777" w:rsidR="00DC440A" w:rsidRPr="00335DC0" w:rsidRDefault="00DC440A" w:rsidP="00DC440A">
      <w:pPr>
        <w:ind w:left="360"/>
      </w:pPr>
    </w:p>
    <w:p w14:paraId="4883C3E2" w14:textId="51F62BF8" w:rsidR="00DC440A" w:rsidRPr="00335DC0" w:rsidRDefault="00DC440A" w:rsidP="00DC440A">
      <w:pPr>
        <w:pStyle w:val="Default"/>
        <w:rPr>
          <w:rFonts w:ascii="Times New Roman" w:hAnsi="Times New Roman" w:cs="Times New Roman"/>
          <w:color w:val="auto"/>
        </w:rPr>
      </w:pPr>
      <w:r w:rsidRPr="00335DC0">
        <w:rPr>
          <w:rFonts w:ascii="Times New Roman" w:hAnsi="Times New Roman" w:cs="Times New Roman"/>
          <w:b/>
          <w:color w:val="auto"/>
        </w:rPr>
        <w:t>Verification of compliance</w:t>
      </w:r>
      <w:r w:rsidRPr="00335DC0">
        <w:rPr>
          <w:rFonts w:ascii="Times New Roman" w:hAnsi="Times New Roman" w:cs="Times New Roman"/>
          <w:color w:val="auto"/>
        </w:rPr>
        <w:t xml:space="preserve"> </w:t>
      </w:r>
      <w:r w:rsidR="00F91A3B" w:rsidRPr="00335DC0">
        <w:t>–</w:t>
      </w:r>
      <w:r w:rsidRPr="00335DC0">
        <w:rPr>
          <w:rFonts w:ascii="Times New Roman" w:hAnsi="Times New Roman" w:cs="Times New Roman"/>
          <w:color w:val="auto"/>
        </w:rPr>
        <w:t xml:space="preserve"> Once received, MOHCD staff will review the nonprofit’s corrective action plan and any other associated documentation to verify</w:t>
      </w:r>
      <w:r w:rsidR="00B551B4">
        <w:rPr>
          <w:rFonts w:ascii="Times New Roman" w:hAnsi="Times New Roman" w:cs="Times New Roman"/>
          <w:color w:val="auto"/>
        </w:rPr>
        <w:t xml:space="preserve"> that the stated actions have/</w:t>
      </w:r>
      <w:r w:rsidRPr="00335DC0">
        <w:rPr>
          <w:rFonts w:ascii="Times New Roman" w:hAnsi="Times New Roman" w:cs="Times New Roman"/>
          <w:color w:val="auto"/>
        </w:rPr>
        <w:t>will result in solving the identified probl</w:t>
      </w:r>
      <w:r w:rsidR="00B551B4">
        <w:rPr>
          <w:rFonts w:ascii="Times New Roman" w:hAnsi="Times New Roman" w:cs="Times New Roman"/>
          <w:color w:val="auto"/>
        </w:rPr>
        <w:t xml:space="preserve">ems in a reasonable timeframe. </w:t>
      </w:r>
      <w:r w:rsidRPr="00335DC0">
        <w:rPr>
          <w:rFonts w:ascii="Times New Roman" w:hAnsi="Times New Roman" w:cs="Times New Roman"/>
          <w:color w:val="auto"/>
        </w:rPr>
        <w:t xml:space="preserve">Within one month of receiving the nonprofit’s corrective action plan, if satisfied with the plan, MOHCD will notify the nonprofit in writing that the </w:t>
      </w:r>
      <w:r w:rsidR="00B551B4">
        <w:rPr>
          <w:rFonts w:ascii="Times New Roman" w:hAnsi="Times New Roman" w:cs="Times New Roman"/>
          <w:color w:val="auto"/>
        </w:rPr>
        <w:t xml:space="preserve">nonprofit is now in compliance if it implements </w:t>
      </w:r>
      <w:r w:rsidRPr="00335DC0">
        <w:rPr>
          <w:rFonts w:ascii="Times New Roman" w:hAnsi="Times New Roman" w:cs="Times New Roman"/>
          <w:color w:val="auto"/>
        </w:rPr>
        <w:t xml:space="preserve">the corrective action plan </w:t>
      </w:r>
      <w:r w:rsidR="00B551B4">
        <w:rPr>
          <w:rFonts w:ascii="Times New Roman" w:hAnsi="Times New Roman" w:cs="Times New Roman"/>
          <w:color w:val="auto"/>
        </w:rPr>
        <w:t xml:space="preserve">as prescribed. </w:t>
      </w:r>
      <w:r w:rsidRPr="00335DC0">
        <w:rPr>
          <w:rFonts w:ascii="Times New Roman" w:hAnsi="Times New Roman" w:cs="Times New Roman"/>
          <w:color w:val="auto"/>
        </w:rPr>
        <w:t xml:space="preserve">MOHCD will </w:t>
      </w:r>
      <w:r w:rsidR="00B551B4">
        <w:rPr>
          <w:rFonts w:ascii="Times New Roman" w:hAnsi="Times New Roman" w:cs="Times New Roman"/>
          <w:color w:val="auto"/>
        </w:rPr>
        <w:t xml:space="preserve">monitor </w:t>
      </w:r>
      <w:r w:rsidRPr="00335DC0">
        <w:rPr>
          <w:rFonts w:ascii="Times New Roman" w:hAnsi="Times New Roman" w:cs="Times New Roman"/>
          <w:color w:val="auto"/>
        </w:rPr>
        <w:t xml:space="preserve">the implementation of the corrective action plan.  </w:t>
      </w:r>
    </w:p>
    <w:p w14:paraId="01FE9E01" w14:textId="77777777" w:rsidR="00DC440A" w:rsidRPr="00335DC0" w:rsidRDefault="00DC440A" w:rsidP="00DC440A">
      <w:pPr>
        <w:pStyle w:val="ListParagraph"/>
        <w:rPr>
          <w:szCs w:val="24"/>
        </w:rPr>
      </w:pPr>
    </w:p>
    <w:p w14:paraId="20004B3B" w14:textId="6C01A1BB" w:rsidR="00DC440A" w:rsidRPr="00335DC0" w:rsidRDefault="00DC440A" w:rsidP="00DC440A">
      <w:pPr>
        <w:pStyle w:val="Default"/>
        <w:rPr>
          <w:rFonts w:ascii="Times New Roman" w:hAnsi="Times New Roman" w:cs="Times New Roman"/>
          <w:color w:val="auto"/>
        </w:rPr>
      </w:pPr>
      <w:r w:rsidRPr="00335DC0">
        <w:rPr>
          <w:rFonts w:ascii="Times New Roman" w:hAnsi="Times New Roman" w:cs="Times New Roman"/>
          <w:b/>
          <w:color w:val="auto"/>
        </w:rPr>
        <w:t>Dialogue with nonprofit</w:t>
      </w:r>
      <w:r w:rsidRPr="00335DC0">
        <w:rPr>
          <w:rFonts w:ascii="Times New Roman" w:hAnsi="Times New Roman" w:cs="Times New Roman"/>
          <w:color w:val="auto"/>
        </w:rPr>
        <w:t xml:space="preserve"> </w:t>
      </w:r>
      <w:r w:rsidR="00F91A3B" w:rsidRPr="00335DC0">
        <w:t>–</w:t>
      </w:r>
      <w:r w:rsidRPr="00335DC0">
        <w:rPr>
          <w:rFonts w:ascii="Times New Roman" w:hAnsi="Times New Roman" w:cs="Times New Roman"/>
          <w:color w:val="auto"/>
        </w:rPr>
        <w:t xml:space="preserve"> MOHCD will hold meetings and </w:t>
      </w:r>
      <w:r w:rsidR="005B442C">
        <w:rPr>
          <w:rFonts w:ascii="Times New Roman" w:hAnsi="Times New Roman" w:cs="Times New Roman"/>
          <w:color w:val="auto"/>
        </w:rPr>
        <w:t>communicate</w:t>
      </w:r>
      <w:r w:rsidRPr="00335DC0">
        <w:rPr>
          <w:rFonts w:ascii="Times New Roman" w:hAnsi="Times New Roman" w:cs="Times New Roman"/>
          <w:color w:val="auto"/>
        </w:rPr>
        <w:t xml:space="preserve"> with the nonprofit’s leadership, including executive committees of boards of directors, as needed and appropriate to help make progress towards corrective action.</w:t>
      </w:r>
    </w:p>
    <w:p w14:paraId="4652D91F" w14:textId="77777777" w:rsidR="00DC440A" w:rsidRPr="00335DC0" w:rsidRDefault="00DC440A" w:rsidP="00DC440A">
      <w:pPr>
        <w:pStyle w:val="Default"/>
        <w:rPr>
          <w:rFonts w:ascii="Times New Roman" w:hAnsi="Times New Roman" w:cs="Times New Roman"/>
          <w:color w:val="auto"/>
        </w:rPr>
      </w:pPr>
    </w:p>
    <w:p w14:paraId="73605E10" w14:textId="15A67E91" w:rsidR="00DC440A" w:rsidRPr="00335DC0" w:rsidRDefault="00DC440A" w:rsidP="00DC440A">
      <w:pPr>
        <w:pStyle w:val="Default"/>
        <w:rPr>
          <w:rFonts w:ascii="Times New Roman" w:hAnsi="Times New Roman" w:cs="Times New Roman"/>
          <w:color w:val="auto"/>
        </w:rPr>
      </w:pPr>
      <w:r w:rsidRPr="00335DC0">
        <w:rPr>
          <w:rFonts w:ascii="Times New Roman" w:hAnsi="Times New Roman" w:cs="Times New Roman"/>
          <w:b/>
          <w:color w:val="auto"/>
        </w:rPr>
        <w:t>Technical assistance</w:t>
      </w:r>
      <w:r w:rsidRPr="00335DC0">
        <w:rPr>
          <w:rFonts w:ascii="Times New Roman" w:hAnsi="Times New Roman" w:cs="Times New Roman"/>
          <w:color w:val="auto"/>
        </w:rPr>
        <w:t xml:space="preserve"> </w:t>
      </w:r>
      <w:r w:rsidR="00F91A3B" w:rsidRPr="00335DC0">
        <w:t>–</w:t>
      </w:r>
      <w:r w:rsidRPr="00335DC0">
        <w:rPr>
          <w:rFonts w:ascii="Times New Roman" w:hAnsi="Times New Roman" w:cs="Times New Roman"/>
          <w:color w:val="auto"/>
        </w:rPr>
        <w:t xml:space="preserve"> MOHCD </w:t>
      </w:r>
      <w:r w:rsidR="0083195A">
        <w:rPr>
          <w:rFonts w:ascii="Times New Roman" w:hAnsi="Times New Roman" w:cs="Times New Roman"/>
          <w:color w:val="auto"/>
        </w:rPr>
        <w:t xml:space="preserve">staff </w:t>
      </w:r>
      <w:r w:rsidRPr="00335DC0">
        <w:rPr>
          <w:rFonts w:ascii="Times New Roman" w:hAnsi="Times New Roman" w:cs="Times New Roman"/>
          <w:color w:val="auto"/>
        </w:rPr>
        <w:t xml:space="preserve">will consider whether technical assistance is appropriate in </w:t>
      </w:r>
      <w:r w:rsidR="0083195A">
        <w:rPr>
          <w:rFonts w:ascii="Times New Roman" w:hAnsi="Times New Roman" w:cs="Times New Roman"/>
          <w:color w:val="auto"/>
        </w:rPr>
        <w:t>helping</w:t>
      </w:r>
      <w:r w:rsidRPr="00335DC0">
        <w:rPr>
          <w:rFonts w:ascii="Times New Roman" w:hAnsi="Times New Roman" w:cs="Times New Roman"/>
          <w:color w:val="auto"/>
        </w:rPr>
        <w:t xml:space="preserve"> the </w:t>
      </w:r>
      <w:r w:rsidR="005B442C">
        <w:rPr>
          <w:rFonts w:ascii="Times New Roman" w:hAnsi="Times New Roman" w:cs="Times New Roman"/>
          <w:color w:val="auto"/>
        </w:rPr>
        <w:t xml:space="preserve">provider come into compliance. </w:t>
      </w:r>
      <w:r w:rsidRPr="00335DC0">
        <w:rPr>
          <w:rFonts w:ascii="Times New Roman" w:hAnsi="Times New Roman" w:cs="Times New Roman"/>
          <w:color w:val="auto"/>
        </w:rPr>
        <w:t xml:space="preserve">For fiscal and compliance technical assistance, </w:t>
      </w:r>
      <w:r w:rsidR="005B442C">
        <w:rPr>
          <w:rFonts w:ascii="Times New Roman" w:hAnsi="Times New Roman" w:cs="Times New Roman"/>
          <w:color w:val="auto"/>
        </w:rPr>
        <w:t xml:space="preserve">MOHCD may refer </w:t>
      </w:r>
      <w:r w:rsidR="0083195A">
        <w:rPr>
          <w:rFonts w:ascii="Times New Roman" w:hAnsi="Times New Roman" w:cs="Times New Roman"/>
          <w:color w:val="auto"/>
        </w:rPr>
        <w:t>grantees to</w:t>
      </w:r>
      <w:r w:rsidRPr="00335DC0">
        <w:rPr>
          <w:rFonts w:ascii="Times New Roman" w:hAnsi="Times New Roman" w:cs="Times New Roman"/>
          <w:color w:val="auto"/>
        </w:rPr>
        <w:t xml:space="preserve"> the </w:t>
      </w:r>
      <w:hyperlink r:id="rId20" w:history="1">
        <w:r w:rsidRPr="00FD1068">
          <w:rPr>
            <w:rStyle w:val="Hyperlink"/>
            <w:rFonts w:ascii="Times New Roman" w:hAnsi="Times New Roman" w:cs="Times New Roman"/>
          </w:rPr>
          <w:t>Citywide Nonprofit Monitoring and Capacity Building Program</w:t>
        </w:r>
      </w:hyperlink>
      <w:r w:rsidR="0083195A">
        <w:rPr>
          <w:rFonts w:ascii="Times New Roman" w:hAnsi="Times New Roman" w:cs="Times New Roman"/>
          <w:color w:val="auto"/>
        </w:rPr>
        <w:t>,</w:t>
      </w:r>
      <w:r w:rsidRPr="00335DC0">
        <w:rPr>
          <w:rFonts w:ascii="Times New Roman" w:hAnsi="Times New Roman" w:cs="Times New Roman"/>
          <w:color w:val="auto"/>
        </w:rPr>
        <w:t xml:space="preserve"> facilitated by the Controller’s Office.</w:t>
      </w:r>
    </w:p>
    <w:p w14:paraId="530589EA" w14:textId="77777777" w:rsidR="00DC440A" w:rsidRPr="00335DC0" w:rsidRDefault="00DC440A" w:rsidP="00DC440A">
      <w:pPr>
        <w:pStyle w:val="Default"/>
        <w:ind w:left="360"/>
        <w:rPr>
          <w:rFonts w:ascii="Times New Roman" w:hAnsi="Times New Roman" w:cs="Times New Roman"/>
          <w:color w:val="auto"/>
        </w:rPr>
      </w:pPr>
    </w:p>
    <w:p w14:paraId="1688CAD3" w14:textId="2F524F6D" w:rsidR="00DC440A" w:rsidRPr="00335DC0" w:rsidRDefault="00DC440A" w:rsidP="00DC440A">
      <w:pPr>
        <w:pStyle w:val="Default"/>
        <w:rPr>
          <w:rStyle w:val="Hyperlink"/>
          <w:rFonts w:ascii="Times New Roman" w:hAnsi="Times New Roman" w:cs="Times New Roman"/>
          <w:bCs/>
          <w:color w:val="FF0000"/>
          <w:u w:val="none"/>
        </w:rPr>
      </w:pPr>
      <w:r w:rsidRPr="00335DC0">
        <w:rPr>
          <w:rFonts w:ascii="Times New Roman" w:hAnsi="Times New Roman" w:cs="Times New Roman"/>
          <w:b/>
          <w:color w:val="auto"/>
        </w:rPr>
        <w:t>Nonprofits funded by more than one City department</w:t>
      </w:r>
      <w:r w:rsidRPr="00335DC0">
        <w:rPr>
          <w:rFonts w:ascii="Times New Roman" w:hAnsi="Times New Roman" w:cs="Times New Roman"/>
          <w:color w:val="auto"/>
        </w:rPr>
        <w:t xml:space="preserve"> </w:t>
      </w:r>
      <w:r w:rsidR="00F91A3B" w:rsidRPr="00335DC0">
        <w:t>–</w:t>
      </w:r>
      <w:r w:rsidRPr="00335DC0">
        <w:rPr>
          <w:rFonts w:ascii="Times New Roman" w:hAnsi="Times New Roman" w:cs="Times New Roman"/>
          <w:color w:val="auto"/>
        </w:rPr>
        <w:t xml:space="preserve"> For nonprofits that are funded by more than one City </w:t>
      </w:r>
      <w:r w:rsidR="00FD1068">
        <w:rPr>
          <w:rFonts w:ascii="Times New Roman" w:hAnsi="Times New Roman" w:cs="Times New Roman"/>
          <w:color w:val="auto"/>
        </w:rPr>
        <w:t>department and are part of the c</w:t>
      </w:r>
      <w:r w:rsidRPr="00335DC0">
        <w:rPr>
          <w:rFonts w:ascii="Times New Roman" w:hAnsi="Times New Roman" w:cs="Times New Roman"/>
          <w:color w:val="auto"/>
        </w:rPr>
        <w:t xml:space="preserve">itywide </w:t>
      </w:r>
      <w:r w:rsidR="00FD1068">
        <w:rPr>
          <w:rFonts w:ascii="Times New Roman" w:hAnsi="Times New Roman" w:cs="Times New Roman"/>
          <w:color w:val="auto"/>
        </w:rPr>
        <w:t>joint</w:t>
      </w:r>
      <w:r w:rsidRPr="00335DC0">
        <w:rPr>
          <w:rFonts w:ascii="Times New Roman" w:hAnsi="Times New Roman" w:cs="Times New Roman"/>
          <w:color w:val="auto"/>
        </w:rPr>
        <w:t xml:space="preserve"> monitoring pool, City departments will follow the standard corrective action policies and procedures laid out in the Controller’s </w:t>
      </w:r>
      <w:hyperlink r:id="rId21" w:history="1">
        <w:r w:rsidRPr="00FD1068">
          <w:rPr>
            <w:rStyle w:val="Hyperlink"/>
            <w:rFonts w:ascii="Times New Roman" w:hAnsi="Times New Roman" w:cs="Times New Roman"/>
          </w:rPr>
          <w:t>Citywide Fiscal and Compliance Monitoring Guidelines</w:t>
        </w:r>
      </w:hyperlink>
      <w:r w:rsidR="00FD1068">
        <w:rPr>
          <w:rStyle w:val="Hyperlink"/>
          <w:rFonts w:ascii="Times New Roman" w:hAnsi="Times New Roman" w:cs="Times New Roman"/>
          <w:color w:val="auto"/>
          <w:u w:val="none"/>
        </w:rPr>
        <w:t>.</w:t>
      </w:r>
    </w:p>
    <w:p w14:paraId="18D9BAF3" w14:textId="77777777" w:rsidR="00DC440A" w:rsidRPr="00335DC0" w:rsidRDefault="00DC440A" w:rsidP="00DC440A">
      <w:pPr>
        <w:pStyle w:val="Default"/>
        <w:rPr>
          <w:rFonts w:ascii="Times New Roman" w:hAnsi="Times New Roman" w:cs="Times New Roman"/>
          <w:color w:val="FF0000"/>
        </w:rPr>
      </w:pPr>
    </w:p>
    <w:p w14:paraId="73E5BBE3" w14:textId="03BDDEC5" w:rsidR="00DC440A" w:rsidRPr="00335DC0" w:rsidRDefault="00DC440A" w:rsidP="00DC440A">
      <w:pPr>
        <w:pStyle w:val="Default"/>
        <w:rPr>
          <w:rFonts w:ascii="Times New Roman" w:hAnsi="Times New Roman" w:cs="Times New Roman"/>
          <w:color w:val="auto"/>
        </w:rPr>
      </w:pPr>
      <w:r w:rsidRPr="00335DC0">
        <w:rPr>
          <w:rFonts w:ascii="Times New Roman" w:hAnsi="Times New Roman" w:cs="Times New Roman"/>
          <w:b/>
          <w:color w:val="auto"/>
        </w:rPr>
        <w:t>Late response to corrective action</w:t>
      </w:r>
      <w:r w:rsidRPr="00335DC0">
        <w:rPr>
          <w:rFonts w:ascii="Times New Roman" w:hAnsi="Times New Roman" w:cs="Times New Roman"/>
          <w:color w:val="auto"/>
        </w:rPr>
        <w:t xml:space="preserve"> </w:t>
      </w:r>
      <w:r w:rsidR="00F91A3B" w:rsidRPr="00335DC0">
        <w:t>–</w:t>
      </w:r>
      <w:r w:rsidRPr="00335DC0">
        <w:rPr>
          <w:rFonts w:ascii="Times New Roman" w:hAnsi="Times New Roman" w:cs="Times New Roman"/>
          <w:color w:val="auto"/>
        </w:rPr>
        <w:t xml:space="preserve"> If a nonprofit is late in responding to a monitoring report letter from MOHCD, MOHCD will follow up via phone, document this in a follow up letter, and set a new deadline of ten business day</w:t>
      </w:r>
      <w:r w:rsidR="005B442C">
        <w:rPr>
          <w:rFonts w:ascii="Times New Roman" w:hAnsi="Times New Roman" w:cs="Times New Roman"/>
          <w:color w:val="auto"/>
        </w:rPr>
        <w:t xml:space="preserve">s for response. </w:t>
      </w:r>
      <w:r w:rsidRPr="00335DC0">
        <w:rPr>
          <w:rFonts w:ascii="Times New Roman" w:hAnsi="Times New Roman" w:cs="Times New Roman"/>
          <w:color w:val="auto"/>
        </w:rPr>
        <w:t xml:space="preserve">If </w:t>
      </w:r>
      <w:r w:rsidR="005B442C">
        <w:rPr>
          <w:rFonts w:ascii="Times New Roman" w:hAnsi="Times New Roman" w:cs="Times New Roman"/>
          <w:color w:val="auto"/>
        </w:rPr>
        <w:t xml:space="preserve">MOHCD does not receive </w:t>
      </w:r>
      <w:r w:rsidRPr="00335DC0">
        <w:rPr>
          <w:rFonts w:ascii="Times New Roman" w:hAnsi="Times New Roman" w:cs="Times New Roman"/>
          <w:color w:val="auto"/>
        </w:rPr>
        <w:t>a response</w:t>
      </w:r>
      <w:r w:rsidR="005B442C">
        <w:rPr>
          <w:rFonts w:ascii="Times New Roman" w:hAnsi="Times New Roman" w:cs="Times New Roman"/>
          <w:color w:val="auto"/>
        </w:rPr>
        <w:t xml:space="preserve"> </w:t>
      </w:r>
      <w:r w:rsidR="005B442C">
        <w:rPr>
          <w:rFonts w:ascii="Times New Roman" w:hAnsi="Times New Roman" w:cs="Times New Roman"/>
          <w:color w:val="auto"/>
        </w:rPr>
        <w:lastRenderedPageBreak/>
        <w:t>within</w:t>
      </w:r>
      <w:r w:rsidRPr="00335DC0">
        <w:rPr>
          <w:rFonts w:ascii="Times New Roman" w:hAnsi="Times New Roman" w:cs="Times New Roman"/>
          <w:color w:val="auto"/>
        </w:rPr>
        <w:t xml:space="preserve"> this timeline, </w:t>
      </w:r>
      <w:r w:rsidR="005B442C">
        <w:rPr>
          <w:rFonts w:ascii="Times New Roman" w:hAnsi="Times New Roman" w:cs="Times New Roman"/>
          <w:color w:val="auto"/>
        </w:rPr>
        <w:t xml:space="preserve">we will send </w:t>
      </w:r>
      <w:r w:rsidRPr="00335DC0">
        <w:rPr>
          <w:rFonts w:ascii="Times New Roman" w:hAnsi="Times New Roman" w:cs="Times New Roman"/>
          <w:color w:val="auto"/>
        </w:rPr>
        <w:t>a warning letter stating that the nonprofit will be placed on elevated concern status unless there is a respon</w:t>
      </w:r>
      <w:r w:rsidR="005B442C">
        <w:rPr>
          <w:rFonts w:ascii="Times New Roman" w:hAnsi="Times New Roman" w:cs="Times New Roman"/>
          <w:color w:val="auto"/>
        </w:rPr>
        <w:t xml:space="preserve">se within ten additional days. If we do not receive a </w:t>
      </w:r>
      <w:r w:rsidRPr="00335DC0">
        <w:rPr>
          <w:rFonts w:ascii="Times New Roman" w:hAnsi="Times New Roman" w:cs="Times New Roman"/>
          <w:color w:val="auto"/>
        </w:rPr>
        <w:t xml:space="preserve">response </w:t>
      </w:r>
      <w:r w:rsidR="005B442C">
        <w:rPr>
          <w:rFonts w:ascii="Times New Roman" w:hAnsi="Times New Roman" w:cs="Times New Roman"/>
          <w:color w:val="auto"/>
        </w:rPr>
        <w:t>by this deadline</w:t>
      </w:r>
      <w:r w:rsidRPr="00335DC0">
        <w:rPr>
          <w:rFonts w:ascii="Times New Roman" w:hAnsi="Times New Roman" w:cs="Times New Roman"/>
          <w:color w:val="auto"/>
        </w:rPr>
        <w:t xml:space="preserve">, </w:t>
      </w:r>
      <w:r w:rsidR="005B442C">
        <w:rPr>
          <w:rFonts w:ascii="Times New Roman" w:hAnsi="Times New Roman" w:cs="Times New Roman"/>
          <w:color w:val="auto"/>
        </w:rPr>
        <w:t xml:space="preserve">we will place </w:t>
      </w:r>
      <w:r w:rsidRPr="00335DC0">
        <w:rPr>
          <w:rFonts w:ascii="Times New Roman" w:hAnsi="Times New Roman" w:cs="Times New Roman"/>
          <w:color w:val="auto"/>
        </w:rPr>
        <w:t xml:space="preserve">the nonprofit </w:t>
      </w:r>
      <w:r w:rsidR="005B442C">
        <w:rPr>
          <w:rFonts w:ascii="Times New Roman" w:hAnsi="Times New Roman" w:cs="Times New Roman"/>
          <w:color w:val="auto"/>
        </w:rPr>
        <w:t>on</w:t>
      </w:r>
      <w:r w:rsidR="002756DB">
        <w:rPr>
          <w:rFonts w:ascii="Times New Roman" w:hAnsi="Times New Roman" w:cs="Times New Roman"/>
          <w:color w:val="auto"/>
        </w:rPr>
        <w:t xml:space="preserve"> our “elevated concern” list</w:t>
      </w:r>
      <w:r w:rsidRPr="00335DC0">
        <w:rPr>
          <w:rFonts w:ascii="Times New Roman" w:hAnsi="Times New Roman" w:cs="Times New Roman"/>
          <w:color w:val="auto"/>
        </w:rPr>
        <w:t>.</w:t>
      </w:r>
    </w:p>
    <w:p w14:paraId="4F65FBD5" w14:textId="77777777" w:rsidR="00DC440A" w:rsidRPr="00335DC0" w:rsidRDefault="00DC440A" w:rsidP="00DC440A">
      <w:pPr>
        <w:pStyle w:val="Default"/>
        <w:ind w:left="360"/>
        <w:rPr>
          <w:rFonts w:ascii="Times New Roman" w:hAnsi="Times New Roman" w:cs="Times New Roman"/>
          <w:color w:val="auto"/>
        </w:rPr>
      </w:pPr>
    </w:p>
    <w:p w14:paraId="167B0AB3" w14:textId="2617DAB3" w:rsidR="00DC440A" w:rsidRPr="00335DC0" w:rsidRDefault="00DC440A" w:rsidP="00DC440A">
      <w:pPr>
        <w:pStyle w:val="Default"/>
        <w:rPr>
          <w:rFonts w:ascii="Times New Roman" w:hAnsi="Times New Roman" w:cs="Times New Roman"/>
          <w:color w:val="auto"/>
        </w:rPr>
      </w:pPr>
      <w:r w:rsidRPr="00335DC0">
        <w:rPr>
          <w:rFonts w:ascii="Times New Roman" w:hAnsi="Times New Roman" w:cs="Times New Roman"/>
          <w:b/>
          <w:color w:val="auto"/>
        </w:rPr>
        <w:t>Unsatisfactory response to corrective action</w:t>
      </w:r>
      <w:r w:rsidRPr="00335DC0">
        <w:rPr>
          <w:rFonts w:ascii="Times New Roman" w:hAnsi="Times New Roman" w:cs="Times New Roman"/>
          <w:color w:val="auto"/>
        </w:rPr>
        <w:t xml:space="preserve"> </w:t>
      </w:r>
      <w:r w:rsidR="00F91A3B" w:rsidRPr="00335DC0">
        <w:t>–</w:t>
      </w:r>
      <w:r w:rsidRPr="00335DC0">
        <w:rPr>
          <w:rFonts w:ascii="Times New Roman" w:hAnsi="Times New Roman" w:cs="Times New Roman"/>
          <w:color w:val="auto"/>
        </w:rPr>
        <w:t xml:space="preserve"> Once received, if MOHCD is not satisfied with the nonprofit’s corrective action plan, as soon as possible and within one month, MOHCD will write a letter to the nonprofit to address these concerns and provide a reasonable timeframe of ten business days to one month for the nonprofit t</w:t>
      </w:r>
      <w:r w:rsidR="002756DB">
        <w:rPr>
          <w:rFonts w:ascii="Times New Roman" w:hAnsi="Times New Roman" w:cs="Times New Roman"/>
          <w:color w:val="auto"/>
        </w:rPr>
        <w:t xml:space="preserve">o amend and resubmit the plan. </w:t>
      </w:r>
      <w:r w:rsidRPr="00335DC0">
        <w:rPr>
          <w:rFonts w:ascii="Times New Roman" w:hAnsi="Times New Roman" w:cs="Times New Roman"/>
          <w:color w:val="auto"/>
        </w:rPr>
        <w:t xml:space="preserve">However, if MOHCD is still not satisfied with the nonprofit’s response, MOHCD will notify the nonprofit within ten business days and place the nonprofit on the department’s </w:t>
      </w:r>
      <w:r w:rsidR="002756DB">
        <w:rPr>
          <w:rFonts w:ascii="Times New Roman" w:hAnsi="Times New Roman" w:cs="Times New Roman"/>
          <w:color w:val="auto"/>
        </w:rPr>
        <w:t>“</w:t>
      </w:r>
      <w:r w:rsidRPr="00335DC0">
        <w:rPr>
          <w:rFonts w:ascii="Times New Roman" w:hAnsi="Times New Roman" w:cs="Times New Roman"/>
          <w:color w:val="auto"/>
        </w:rPr>
        <w:t>elevated concern</w:t>
      </w:r>
      <w:r w:rsidR="002756DB">
        <w:rPr>
          <w:rFonts w:ascii="Times New Roman" w:hAnsi="Times New Roman" w:cs="Times New Roman"/>
          <w:color w:val="auto"/>
        </w:rPr>
        <w:t>”</w:t>
      </w:r>
      <w:r w:rsidRPr="00335DC0">
        <w:rPr>
          <w:rFonts w:ascii="Times New Roman" w:hAnsi="Times New Roman" w:cs="Times New Roman"/>
          <w:color w:val="auto"/>
        </w:rPr>
        <w:t xml:space="preserve"> list.</w:t>
      </w:r>
    </w:p>
    <w:p w14:paraId="09563339" w14:textId="77777777" w:rsidR="00DC440A" w:rsidRPr="00335DC0" w:rsidRDefault="00DC440A" w:rsidP="00DC440A">
      <w:pPr>
        <w:pStyle w:val="ListParagraph"/>
        <w:rPr>
          <w:szCs w:val="24"/>
        </w:rPr>
      </w:pPr>
    </w:p>
    <w:p w14:paraId="4AF7BC0B" w14:textId="7C2DC22A" w:rsidR="00DC440A" w:rsidRPr="00335DC0" w:rsidRDefault="00DC440A" w:rsidP="00DC440A">
      <w:pPr>
        <w:pStyle w:val="Default"/>
        <w:rPr>
          <w:rFonts w:ascii="Times New Roman" w:hAnsi="Times New Roman" w:cs="Times New Roman"/>
          <w:color w:val="auto"/>
        </w:rPr>
      </w:pPr>
      <w:r w:rsidRPr="00335DC0">
        <w:rPr>
          <w:rFonts w:ascii="Times New Roman" w:hAnsi="Times New Roman" w:cs="Times New Roman"/>
          <w:b/>
          <w:color w:val="auto"/>
        </w:rPr>
        <w:t>Noncompliance with corrective action</w:t>
      </w:r>
      <w:r w:rsidRPr="00335DC0">
        <w:rPr>
          <w:rFonts w:ascii="Times New Roman" w:hAnsi="Times New Roman" w:cs="Times New Roman"/>
          <w:color w:val="auto"/>
        </w:rPr>
        <w:t xml:space="preserve"> </w:t>
      </w:r>
      <w:r w:rsidR="00F91A3B" w:rsidRPr="00335DC0">
        <w:t>–</w:t>
      </w:r>
      <w:r w:rsidRPr="00335DC0">
        <w:rPr>
          <w:rFonts w:ascii="Times New Roman" w:hAnsi="Times New Roman" w:cs="Times New Roman"/>
          <w:color w:val="auto"/>
        </w:rPr>
        <w:t xml:space="preserve"> If the nonprofit does not comply with their corrective action plan without providing in advance a written explanation deemed reasonable by MOHCD, MOHCD will place the nonprofit on the </w:t>
      </w:r>
      <w:r w:rsidR="002756DB">
        <w:rPr>
          <w:rFonts w:ascii="Times New Roman" w:hAnsi="Times New Roman" w:cs="Times New Roman"/>
          <w:color w:val="auto"/>
        </w:rPr>
        <w:t>“</w:t>
      </w:r>
      <w:r w:rsidRPr="00335DC0">
        <w:rPr>
          <w:rFonts w:ascii="Times New Roman" w:hAnsi="Times New Roman" w:cs="Times New Roman"/>
          <w:color w:val="auto"/>
        </w:rPr>
        <w:t>elevated concern</w:t>
      </w:r>
      <w:r w:rsidR="002756DB">
        <w:rPr>
          <w:rFonts w:ascii="Times New Roman" w:hAnsi="Times New Roman" w:cs="Times New Roman"/>
          <w:color w:val="auto"/>
        </w:rPr>
        <w:t>”</w:t>
      </w:r>
      <w:r w:rsidRPr="00335DC0">
        <w:rPr>
          <w:rFonts w:ascii="Times New Roman" w:hAnsi="Times New Roman" w:cs="Times New Roman"/>
          <w:color w:val="auto"/>
        </w:rPr>
        <w:t xml:space="preserve"> list.  </w:t>
      </w:r>
    </w:p>
    <w:p w14:paraId="1CF5BD87" w14:textId="77777777" w:rsidR="00DC440A" w:rsidRPr="00335DC0" w:rsidRDefault="00DC440A" w:rsidP="00DC440A"/>
    <w:p w14:paraId="1A749B1E" w14:textId="77777777" w:rsidR="00DC440A" w:rsidRPr="00F862A2" w:rsidRDefault="00DC440A" w:rsidP="00C3152C">
      <w:pPr>
        <w:numPr>
          <w:ilvl w:val="0"/>
          <w:numId w:val="28"/>
        </w:numPr>
        <w:rPr>
          <w:b/>
        </w:rPr>
      </w:pPr>
      <w:r w:rsidRPr="00F862A2">
        <w:rPr>
          <w:b/>
        </w:rPr>
        <w:t>Elevated Concern Status - Designation</w:t>
      </w:r>
    </w:p>
    <w:p w14:paraId="066F94C9" w14:textId="77777777" w:rsidR="00DC440A" w:rsidRPr="00335DC0" w:rsidRDefault="00DC440A" w:rsidP="00DC440A">
      <w:pPr>
        <w:pStyle w:val="ListParagraph"/>
        <w:rPr>
          <w:szCs w:val="24"/>
        </w:rPr>
      </w:pPr>
    </w:p>
    <w:p w14:paraId="01AB900E" w14:textId="4300E826" w:rsidR="00DC440A" w:rsidRPr="00335DC0" w:rsidRDefault="00DC440A" w:rsidP="00DC440A">
      <w:r w:rsidRPr="00335DC0">
        <w:rPr>
          <w:b/>
        </w:rPr>
        <w:t>Definition</w:t>
      </w:r>
      <w:r w:rsidRPr="00335DC0">
        <w:t xml:space="preserve"> </w:t>
      </w:r>
      <w:r w:rsidR="00E35562" w:rsidRPr="00335DC0">
        <w:t>–</w:t>
      </w:r>
      <w:r w:rsidRPr="00335DC0">
        <w:t xml:space="preserve"> Elevated concern is a status designated by MOHCD to a nonprofit when the nonprofit has not successfully completed the standard correction action process (</w:t>
      </w:r>
      <w:r w:rsidR="002756DB">
        <w:t>see section D</w:t>
      </w:r>
      <w:r w:rsidRPr="00335DC0">
        <w:t xml:space="preserve"> above).  Elevated concern status occurs when, ,the nonprofit has not</w:t>
      </w:r>
      <w:r w:rsidR="004F672F">
        <w:t xml:space="preserve"> in a timely fashion</w:t>
      </w:r>
      <w:r w:rsidRPr="00335DC0">
        <w:t>:</w:t>
      </w:r>
    </w:p>
    <w:p w14:paraId="2DC222EF" w14:textId="77777777" w:rsidR="00DC440A" w:rsidRPr="00335DC0" w:rsidRDefault="00DC440A" w:rsidP="00DC440A">
      <w:pPr>
        <w:ind w:left="360"/>
      </w:pPr>
    </w:p>
    <w:p w14:paraId="0BC2E6FF" w14:textId="77777777" w:rsidR="00DC440A" w:rsidRPr="00335DC0" w:rsidRDefault="00DC440A" w:rsidP="00C3152C">
      <w:pPr>
        <w:numPr>
          <w:ilvl w:val="0"/>
          <w:numId w:val="26"/>
        </w:numPr>
      </w:pPr>
      <w:r w:rsidRPr="00335DC0">
        <w:t>Responded to MOHCD</w:t>
      </w:r>
      <w:r w:rsidR="00AE20E9" w:rsidRPr="00335DC0">
        <w:t>’s</w:t>
      </w:r>
      <w:r w:rsidRPr="00335DC0">
        <w:t xml:space="preserve"> request for corrective action</w:t>
      </w:r>
    </w:p>
    <w:p w14:paraId="4F2489A5" w14:textId="77777777" w:rsidR="00DC440A" w:rsidRPr="00335DC0" w:rsidRDefault="00DC440A" w:rsidP="00C3152C">
      <w:pPr>
        <w:numPr>
          <w:ilvl w:val="0"/>
          <w:numId w:val="26"/>
        </w:numPr>
      </w:pPr>
      <w:r w:rsidRPr="00335DC0">
        <w:t>Provided a corrective action plan that is acceptable to MOHCD</w:t>
      </w:r>
    </w:p>
    <w:p w14:paraId="47C163F2" w14:textId="487510D7" w:rsidR="00DC440A" w:rsidRPr="00335DC0" w:rsidRDefault="002756DB" w:rsidP="00C3152C">
      <w:pPr>
        <w:numPr>
          <w:ilvl w:val="0"/>
          <w:numId w:val="26"/>
        </w:numPr>
      </w:pPr>
      <w:r>
        <w:t>Implemented</w:t>
      </w:r>
      <w:r w:rsidR="00DC440A" w:rsidRPr="00335DC0">
        <w:t xml:space="preserve"> their corrective action plan </w:t>
      </w:r>
    </w:p>
    <w:p w14:paraId="61240F0F" w14:textId="77777777" w:rsidR="00DC440A" w:rsidRPr="00335DC0" w:rsidRDefault="00DC440A" w:rsidP="00DC440A"/>
    <w:p w14:paraId="3F628B9D" w14:textId="14D6DE83" w:rsidR="00DC440A" w:rsidRPr="00335DC0" w:rsidRDefault="00DC440A" w:rsidP="00DC440A">
      <w:r w:rsidRPr="00335DC0">
        <w:rPr>
          <w:b/>
        </w:rPr>
        <w:t>Responsibility</w:t>
      </w:r>
      <w:r w:rsidRPr="00335DC0">
        <w:t xml:space="preserve"> </w:t>
      </w:r>
      <w:r w:rsidR="008C4B00" w:rsidRPr="00335DC0">
        <w:t>–</w:t>
      </w:r>
      <w:r w:rsidRPr="00335DC0">
        <w:t xml:space="preserve"> In instances of multi-department funding, the City will designate a lead that will be responsible for coordination and information sharing with other departme</w:t>
      </w:r>
      <w:r w:rsidR="002756DB">
        <w:t xml:space="preserve">nt funders. </w:t>
      </w:r>
      <w:r w:rsidRPr="00335DC0">
        <w:t>City departments will issue letters and hold meetings jointly.</w:t>
      </w:r>
    </w:p>
    <w:p w14:paraId="4292E5B8" w14:textId="77777777" w:rsidR="00DC440A" w:rsidRPr="00335DC0" w:rsidRDefault="00DC440A" w:rsidP="00DC440A"/>
    <w:p w14:paraId="18839BF6" w14:textId="1222FFDD" w:rsidR="00DC440A" w:rsidRPr="00335DC0" w:rsidRDefault="00DC440A" w:rsidP="00DC440A">
      <w:r w:rsidRPr="00335DC0">
        <w:rPr>
          <w:b/>
        </w:rPr>
        <w:t>Documentation</w:t>
      </w:r>
      <w:r w:rsidRPr="00335DC0">
        <w:t xml:space="preserve"> </w:t>
      </w:r>
      <w:r w:rsidR="008C4B00" w:rsidRPr="00335DC0">
        <w:t>–</w:t>
      </w:r>
      <w:r w:rsidRPr="00335DC0">
        <w:t xml:space="preserve"> Once a nonprofit is designated as being of elevated concern, MOHCD will notify the nonprofit of this in writing as well as the process for removal from this status</w:t>
      </w:r>
      <w:r w:rsidR="00E76A42">
        <w:t xml:space="preserve">. </w:t>
      </w:r>
      <w:r w:rsidRPr="00335DC0">
        <w:t>The nonprofit will be notified that they will be less competitive for new grants or contracts from MOHCD until they are again in compliance, and may not meet the minimum qualifications for new grants or contracts until they are in compliance on all standard fiscal and complianc</w:t>
      </w:r>
      <w:r w:rsidR="00E76A42">
        <w:t xml:space="preserve">e corrective action elements. </w:t>
      </w:r>
      <w:r w:rsidRPr="00335DC0">
        <w:t xml:space="preserve">The nonprofit’s executive committee of the board of directors will be copied on the communication.  </w:t>
      </w:r>
    </w:p>
    <w:p w14:paraId="0C02F739" w14:textId="77777777" w:rsidR="00DC440A" w:rsidRPr="00335DC0" w:rsidRDefault="00DC440A" w:rsidP="00DC440A">
      <w:pPr>
        <w:ind w:left="360"/>
      </w:pPr>
    </w:p>
    <w:p w14:paraId="0351D35C" w14:textId="683D99C1" w:rsidR="00DC440A" w:rsidRPr="00335DC0" w:rsidRDefault="00DC440A" w:rsidP="00DC440A">
      <w:r w:rsidRPr="00335DC0">
        <w:rPr>
          <w:b/>
        </w:rPr>
        <w:t>De-designation</w:t>
      </w:r>
      <w:r w:rsidRPr="00335DC0">
        <w:t xml:space="preserve"> </w:t>
      </w:r>
      <w:r w:rsidR="008C4B00" w:rsidRPr="00335DC0">
        <w:t>–</w:t>
      </w:r>
      <w:r w:rsidRPr="00335DC0">
        <w:t xml:space="preserve"> The nonprofit will remain on elevated concern status until the nonprofit has provided a satisfactory corrective action plan and fully implemented it, or partially implemented the </w:t>
      </w:r>
      <w:r w:rsidR="00E76A42">
        <w:t xml:space="preserve">plan to the satisfaction of MOHCD or the City department(s) in question. </w:t>
      </w:r>
      <w:r w:rsidRPr="00335DC0">
        <w:t xml:space="preserve">MOHCD will </w:t>
      </w:r>
      <w:r w:rsidR="008C4B00">
        <w:t>send</w:t>
      </w:r>
      <w:r w:rsidR="008C4B00" w:rsidRPr="00335DC0">
        <w:t xml:space="preserve"> </w:t>
      </w:r>
      <w:r w:rsidRPr="00335DC0">
        <w:t>a written response to the nonprofit within</w:t>
      </w:r>
      <w:r w:rsidR="00FD1068">
        <w:t xml:space="preserve"> one month </w:t>
      </w:r>
      <w:r w:rsidR="008C4B00">
        <w:t>of receiving</w:t>
      </w:r>
      <w:r w:rsidRPr="00335DC0">
        <w:t xml:space="preserve"> a </w:t>
      </w:r>
      <w:r w:rsidR="008C4B00">
        <w:t xml:space="preserve">resubmitted </w:t>
      </w:r>
      <w:r w:rsidRPr="00335DC0">
        <w:t>corrective action plan and/or updat</w:t>
      </w:r>
      <w:r w:rsidR="00E76A42">
        <w:t xml:space="preserve">es on implementation progress. </w:t>
      </w:r>
      <w:r w:rsidRPr="00335DC0">
        <w:t>MOHCD</w:t>
      </w:r>
      <w:r w:rsidR="00AE20E9" w:rsidRPr="00335DC0">
        <w:t>’s</w:t>
      </w:r>
      <w:r w:rsidRPr="00335DC0">
        <w:t xml:space="preserve"> response must include either a de-designation of elevated concern status or a clear road map as to the steps the nonprofit needs to take so that MOHCD will remove</w:t>
      </w:r>
      <w:r w:rsidR="00E76A42">
        <w:t xml:space="preserve"> the status. </w:t>
      </w:r>
      <w:r w:rsidRPr="00335DC0">
        <w:t xml:space="preserve">MOHCD will continue to </w:t>
      </w:r>
      <w:r w:rsidR="00E76A42">
        <w:t xml:space="preserve">communicate with </w:t>
      </w:r>
      <w:r w:rsidRPr="00335DC0">
        <w:t>nonprofit leadership, including the board of directors, to make progress on corrective action and will consider technical assistance, as appropriate.</w:t>
      </w:r>
    </w:p>
    <w:p w14:paraId="75261A14" w14:textId="77777777" w:rsidR="00DC440A" w:rsidRPr="00335DC0" w:rsidRDefault="00DC440A" w:rsidP="00DC440A"/>
    <w:p w14:paraId="51C3712B" w14:textId="77777777" w:rsidR="00DC440A" w:rsidRPr="00F862A2" w:rsidRDefault="00DC440A" w:rsidP="00C3152C">
      <w:pPr>
        <w:pStyle w:val="ListParagraph"/>
        <w:numPr>
          <w:ilvl w:val="0"/>
          <w:numId w:val="28"/>
        </w:numPr>
        <w:rPr>
          <w:b/>
          <w:szCs w:val="24"/>
        </w:rPr>
      </w:pPr>
      <w:r w:rsidRPr="00F862A2">
        <w:rPr>
          <w:b/>
          <w:szCs w:val="24"/>
        </w:rPr>
        <w:t>Red Flag Status - Designation</w:t>
      </w:r>
    </w:p>
    <w:p w14:paraId="51D971C9" w14:textId="77777777" w:rsidR="00DC440A" w:rsidRPr="00335DC0" w:rsidRDefault="00DC440A" w:rsidP="00DC440A">
      <w:pPr>
        <w:pStyle w:val="ListParagraph"/>
        <w:rPr>
          <w:szCs w:val="24"/>
        </w:rPr>
      </w:pPr>
    </w:p>
    <w:p w14:paraId="1DEF0CD4" w14:textId="1E4066CB" w:rsidR="00DC440A" w:rsidRPr="00335DC0" w:rsidRDefault="00DC440A" w:rsidP="00DC440A">
      <w:r w:rsidRPr="00335DC0">
        <w:rPr>
          <w:b/>
        </w:rPr>
        <w:t>Definition</w:t>
      </w:r>
      <w:r w:rsidRPr="00335DC0">
        <w:t xml:space="preserve"> </w:t>
      </w:r>
      <w:r w:rsidR="008C4B00" w:rsidRPr="00335DC0">
        <w:t>–</w:t>
      </w:r>
      <w:r w:rsidRPr="00335DC0">
        <w:t xml:space="preserve"> Red flag status occurs when a nonprofit is a critical service provider at imminent risk of being unable to perform services per their agreement, or unable or unwilling to engage </w:t>
      </w:r>
      <w:r w:rsidR="00E76A42">
        <w:t xml:space="preserve">in required corrective action. </w:t>
      </w:r>
      <w:r w:rsidRPr="00335DC0">
        <w:t>Red flag status can</w:t>
      </w:r>
      <w:r w:rsidR="00E43E91">
        <w:t xml:space="preserve"> occur regardless of whether </w:t>
      </w:r>
      <w:r w:rsidRPr="00335DC0">
        <w:t xml:space="preserve">a nonprofit </w:t>
      </w:r>
      <w:r w:rsidR="00E43E91">
        <w:t xml:space="preserve">is </w:t>
      </w:r>
      <w:r w:rsidRPr="00335DC0">
        <w:t>alread</w:t>
      </w:r>
      <w:r w:rsidR="00E76A42">
        <w:t xml:space="preserve">y </w:t>
      </w:r>
      <w:r w:rsidR="00E43E91">
        <w:t>on</w:t>
      </w:r>
      <w:r w:rsidR="00E76A42">
        <w:t xml:space="preserve"> elevated concern status. </w:t>
      </w:r>
      <w:r w:rsidRPr="00335DC0">
        <w:t xml:space="preserve">A nonprofit is a critical service provider when it is the only </w:t>
      </w:r>
      <w:r w:rsidR="00E43E91">
        <w:t>(</w:t>
      </w:r>
      <w:r w:rsidRPr="00335DC0">
        <w:t>or one of the only</w:t>
      </w:r>
      <w:r w:rsidR="00E43E91">
        <w:t>)</w:t>
      </w:r>
      <w:r w:rsidRPr="00335DC0">
        <w:t xml:space="preserve"> nonprofits t</w:t>
      </w:r>
      <w:r w:rsidR="00E43E91">
        <w:t>hat provide a critical service/level of services in the c</w:t>
      </w:r>
      <w:r w:rsidRPr="00335DC0">
        <w:t xml:space="preserve">ity, has a critical and unique cultural competency, and/or has important licenses or facilities that are otherwise difficult to </w:t>
      </w:r>
      <w:r w:rsidR="00E43E91">
        <w:t>attain</w:t>
      </w:r>
      <w:r w:rsidRPr="00335DC0">
        <w:t xml:space="preserve">.  </w:t>
      </w:r>
    </w:p>
    <w:p w14:paraId="76CBEE90" w14:textId="77777777" w:rsidR="00DC440A" w:rsidRPr="00335DC0" w:rsidRDefault="00DC440A" w:rsidP="00DC440A"/>
    <w:p w14:paraId="088C0A72" w14:textId="77777777" w:rsidR="00DC440A" w:rsidRPr="00335DC0" w:rsidRDefault="00DC440A" w:rsidP="00DC440A">
      <w:r w:rsidRPr="00335DC0">
        <w:t>The following issues can lead to red flag status:</w:t>
      </w:r>
    </w:p>
    <w:p w14:paraId="7F795BE7" w14:textId="77777777" w:rsidR="00DC440A" w:rsidRPr="00335DC0" w:rsidRDefault="00DC440A" w:rsidP="00DC440A"/>
    <w:p w14:paraId="6DC7985D" w14:textId="77777777" w:rsidR="00DC440A" w:rsidRPr="00335DC0" w:rsidRDefault="00DC440A" w:rsidP="00C3152C">
      <w:pPr>
        <w:numPr>
          <w:ilvl w:val="0"/>
          <w:numId w:val="27"/>
        </w:numPr>
      </w:pPr>
      <w:r w:rsidRPr="00335DC0">
        <w:t xml:space="preserve">Cash flow inadequate to ensure successful delivery of services </w:t>
      </w:r>
    </w:p>
    <w:p w14:paraId="1D2D13E9" w14:textId="380527AD" w:rsidR="00DC440A" w:rsidRPr="00335DC0" w:rsidRDefault="00DC440A" w:rsidP="00C3152C">
      <w:pPr>
        <w:numPr>
          <w:ilvl w:val="0"/>
          <w:numId w:val="27"/>
        </w:numPr>
      </w:pPr>
      <w:r w:rsidRPr="00335DC0">
        <w:t xml:space="preserve">Invoicing consistently and significantly inaccurate </w:t>
      </w:r>
      <w:r w:rsidR="00165715">
        <w:t>and/</w:t>
      </w:r>
      <w:r w:rsidRPr="00335DC0">
        <w:t>or late</w:t>
      </w:r>
    </w:p>
    <w:p w14:paraId="65618950" w14:textId="543D04D3" w:rsidR="00DC440A" w:rsidRPr="00335DC0" w:rsidRDefault="00DC440A" w:rsidP="00C3152C">
      <w:pPr>
        <w:numPr>
          <w:ilvl w:val="0"/>
          <w:numId w:val="27"/>
        </w:numPr>
      </w:pPr>
      <w:r w:rsidRPr="00335DC0">
        <w:t xml:space="preserve">Inability to produce basic financial documents such as an audit, global budget, cost allocation plan, balance sheet, profit and loss statement, </w:t>
      </w:r>
      <w:r w:rsidR="00165715">
        <w:t xml:space="preserve">and </w:t>
      </w:r>
      <w:r w:rsidRPr="00335DC0">
        <w:t>subcontract documentation</w:t>
      </w:r>
    </w:p>
    <w:p w14:paraId="69DDC0B0" w14:textId="77777777" w:rsidR="00DC440A" w:rsidRPr="00335DC0" w:rsidRDefault="00DC440A" w:rsidP="00C3152C">
      <w:pPr>
        <w:numPr>
          <w:ilvl w:val="0"/>
          <w:numId w:val="27"/>
        </w:numPr>
      </w:pPr>
      <w:r w:rsidRPr="00335DC0">
        <w:t xml:space="preserve">Payroll tax forms not submitted for more than one quarter </w:t>
      </w:r>
    </w:p>
    <w:p w14:paraId="7B361F16" w14:textId="0C6361BC" w:rsidR="00DC440A" w:rsidRPr="00335DC0" w:rsidRDefault="00DC440A" w:rsidP="00C3152C">
      <w:pPr>
        <w:numPr>
          <w:ilvl w:val="0"/>
          <w:numId w:val="27"/>
        </w:numPr>
      </w:pPr>
      <w:r w:rsidRPr="00335DC0">
        <w:t>Significantly low units of ser</w:t>
      </w:r>
      <w:r w:rsidR="00165715">
        <w:t>vice; far below needed outcome/</w:t>
      </w:r>
      <w:r w:rsidRPr="00335DC0">
        <w:t>output measurements</w:t>
      </w:r>
    </w:p>
    <w:p w14:paraId="6653988F" w14:textId="77777777" w:rsidR="00DC440A" w:rsidRPr="00335DC0" w:rsidRDefault="00DC440A" w:rsidP="00C3152C">
      <w:pPr>
        <w:numPr>
          <w:ilvl w:val="0"/>
          <w:numId w:val="27"/>
        </w:numPr>
      </w:pPr>
      <w:r w:rsidRPr="00335DC0">
        <w:t>Executive Director or CFO turnover resulting in governance and management problems</w:t>
      </w:r>
    </w:p>
    <w:p w14:paraId="301092AC" w14:textId="77777777" w:rsidR="00DC440A" w:rsidRPr="00335DC0" w:rsidRDefault="00DC440A" w:rsidP="00C3152C">
      <w:pPr>
        <w:numPr>
          <w:ilvl w:val="0"/>
          <w:numId w:val="27"/>
        </w:numPr>
      </w:pPr>
      <w:r w:rsidRPr="00335DC0">
        <w:t xml:space="preserve">Critical safety and legal concerns </w:t>
      </w:r>
    </w:p>
    <w:p w14:paraId="06D79978" w14:textId="77777777" w:rsidR="00DC440A" w:rsidRPr="00335DC0" w:rsidRDefault="00DC440A" w:rsidP="00C3152C">
      <w:pPr>
        <w:numPr>
          <w:ilvl w:val="0"/>
          <w:numId w:val="27"/>
        </w:numPr>
      </w:pPr>
      <w:r w:rsidRPr="00335DC0">
        <w:t>Licensing or facilities problems threatening continued delivery of service</w:t>
      </w:r>
    </w:p>
    <w:p w14:paraId="182740ED" w14:textId="0C34377D" w:rsidR="00DC440A" w:rsidRPr="00335DC0" w:rsidRDefault="00165715" w:rsidP="00C3152C">
      <w:pPr>
        <w:numPr>
          <w:ilvl w:val="0"/>
          <w:numId w:val="27"/>
        </w:numPr>
      </w:pPr>
      <w:r>
        <w:t>State/</w:t>
      </w:r>
      <w:r w:rsidR="00DC440A" w:rsidRPr="00335DC0">
        <w:t xml:space="preserve">federal investigations or serious audit results </w:t>
      </w:r>
    </w:p>
    <w:p w14:paraId="34F27DA5" w14:textId="77777777" w:rsidR="00DC440A" w:rsidRPr="00335DC0" w:rsidRDefault="00DC440A" w:rsidP="00C3152C">
      <w:pPr>
        <w:numPr>
          <w:ilvl w:val="0"/>
          <w:numId w:val="27"/>
        </w:numPr>
      </w:pPr>
      <w:r w:rsidRPr="00335DC0">
        <w:t xml:space="preserve">Proven, recent cases of fraud or discrimination </w:t>
      </w:r>
    </w:p>
    <w:p w14:paraId="55CAE999" w14:textId="77777777" w:rsidR="00DC440A" w:rsidRPr="00335DC0" w:rsidRDefault="00DC440A" w:rsidP="00C3152C">
      <w:pPr>
        <w:numPr>
          <w:ilvl w:val="0"/>
          <w:numId w:val="27"/>
        </w:numPr>
      </w:pPr>
      <w:r w:rsidRPr="00335DC0">
        <w:t>Significant unresolved client complaints</w:t>
      </w:r>
    </w:p>
    <w:p w14:paraId="6470776F" w14:textId="77777777" w:rsidR="00DC440A" w:rsidRPr="00335DC0" w:rsidRDefault="00DC440A" w:rsidP="00DC440A"/>
    <w:p w14:paraId="49A2C9E5" w14:textId="27B43FE1" w:rsidR="00DC440A" w:rsidRPr="00335DC0" w:rsidRDefault="00DC440A" w:rsidP="00DC440A">
      <w:r w:rsidRPr="00335DC0">
        <w:rPr>
          <w:b/>
        </w:rPr>
        <w:t>Responsibility</w:t>
      </w:r>
      <w:r w:rsidR="00165715">
        <w:t xml:space="preserve"> </w:t>
      </w:r>
      <w:r w:rsidR="008C4B00" w:rsidRPr="00335DC0">
        <w:t>–</w:t>
      </w:r>
      <w:r w:rsidR="00165715">
        <w:t xml:space="preserve"> A City department/</w:t>
      </w:r>
      <w:r w:rsidRPr="00335DC0">
        <w:t>division head indicates when red flag status is appropriate and is responsible for associated dec</w:t>
      </w:r>
      <w:r w:rsidR="00165715">
        <w:t xml:space="preserve">ision-making and coordination. </w:t>
      </w:r>
      <w:r w:rsidRPr="00335DC0">
        <w:t xml:space="preserve">In instances of multi-department funding, the City will designate a lead that will be responsible for coordination and information sharing </w:t>
      </w:r>
      <w:r w:rsidR="00165715">
        <w:t xml:space="preserve">with other department funders. </w:t>
      </w:r>
      <w:r w:rsidRPr="00335DC0">
        <w:t>City departments will issue letters and hold meetings jointly.</w:t>
      </w:r>
    </w:p>
    <w:p w14:paraId="0528379A" w14:textId="77777777" w:rsidR="00DC440A" w:rsidRPr="00335DC0" w:rsidRDefault="00DC440A" w:rsidP="00DC440A"/>
    <w:p w14:paraId="72E9C783" w14:textId="4903752D" w:rsidR="00DC440A" w:rsidRPr="00335DC0" w:rsidRDefault="00DC440A" w:rsidP="00DC440A">
      <w:r w:rsidRPr="00335DC0">
        <w:rPr>
          <w:b/>
        </w:rPr>
        <w:t>Documentation</w:t>
      </w:r>
      <w:r w:rsidRPr="00335DC0">
        <w:t xml:space="preserve"> </w:t>
      </w:r>
      <w:r w:rsidR="008C4B00" w:rsidRPr="00335DC0">
        <w:t>–</w:t>
      </w:r>
      <w:r w:rsidRPr="00335DC0">
        <w:t xml:space="preserve"> When MOHCD designates a nonprofit with red flag status, </w:t>
      </w:r>
      <w:r w:rsidR="004E137A">
        <w:t>the nonprofit will be informed</w:t>
      </w:r>
      <w:r w:rsidRPr="00335DC0">
        <w:t xml:space="preserve"> in writing </w:t>
      </w:r>
      <w:r w:rsidR="00165715">
        <w:t xml:space="preserve">of </w:t>
      </w:r>
      <w:r w:rsidR="004E137A">
        <w:t>all</w:t>
      </w:r>
      <w:r w:rsidRPr="00335DC0">
        <w:t xml:space="preserve"> issues, specific requested corrective actions required, and the deadline for completion of each a</w:t>
      </w:r>
      <w:r w:rsidR="00165715">
        <w:t xml:space="preserve">ction item. </w:t>
      </w:r>
      <w:r w:rsidRPr="00335DC0">
        <w:t>MOHCD’s letter will also lay out funding consequences for noncomplian</w:t>
      </w:r>
      <w:r w:rsidR="00165715">
        <w:t xml:space="preserve">ce with the requested actions. </w:t>
      </w:r>
      <w:r w:rsidRPr="00335DC0">
        <w:t>The nonprofit’s executive committee of the board of directors will be copied on the communication and given an opportunity to contest the designation if they disagree with the factual basis for the department's determination that red flag status is warranted.</w:t>
      </w:r>
    </w:p>
    <w:p w14:paraId="0D97F21E" w14:textId="77777777" w:rsidR="00DC440A" w:rsidRPr="00335DC0" w:rsidRDefault="00DC440A" w:rsidP="00DC440A">
      <w:pPr>
        <w:pStyle w:val="ListParagraph"/>
        <w:rPr>
          <w:szCs w:val="24"/>
        </w:rPr>
      </w:pPr>
    </w:p>
    <w:p w14:paraId="19301063" w14:textId="1194C27B" w:rsidR="00DC440A" w:rsidRPr="00335DC0" w:rsidRDefault="00DC440A" w:rsidP="00DC440A">
      <w:r w:rsidRPr="00335DC0">
        <w:rPr>
          <w:b/>
        </w:rPr>
        <w:t>De-designation</w:t>
      </w:r>
      <w:r w:rsidRPr="00335DC0">
        <w:t xml:space="preserve"> </w:t>
      </w:r>
      <w:r w:rsidR="008C4B00" w:rsidRPr="00335DC0">
        <w:t>–</w:t>
      </w:r>
      <w:r w:rsidRPr="00335DC0">
        <w:t xml:space="preserve"> The nonprofit will remain on the red flag status list until the nonprofit has fully implemented the requested corrective action, or partially implemented corrective action to the satisfaction of the C</w:t>
      </w:r>
      <w:r w:rsidR="00165715">
        <w:t xml:space="preserve">ity department(s) in question. </w:t>
      </w:r>
      <w:r w:rsidRPr="00335DC0">
        <w:t xml:space="preserve">MOHCD will </w:t>
      </w:r>
      <w:r w:rsidR="008C4B00">
        <w:t>send</w:t>
      </w:r>
      <w:r w:rsidR="008C4B00" w:rsidRPr="00335DC0">
        <w:t xml:space="preserve"> </w:t>
      </w:r>
      <w:r w:rsidRPr="00335DC0">
        <w:t xml:space="preserve">a written response to the nonprofit within one month </w:t>
      </w:r>
      <w:r w:rsidR="008C4B00">
        <w:t>of receiving</w:t>
      </w:r>
      <w:r w:rsidRPr="00335DC0">
        <w:t xml:space="preserve"> a letter demonstrating </w:t>
      </w:r>
      <w:r w:rsidR="008C4B00">
        <w:t>its</w:t>
      </w:r>
      <w:r w:rsidR="008C4B00" w:rsidRPr="00335DC0">
        <w:t xml:space="preserve"> </w:t>
      </w:r>
      <w:r w:rsidRPr="00335DC0">
        <w:t>implementation of corrective action. MOHCD’s response will include either a de-designation of red flag status or a clear road map as to the steps the nonprofit still needs to take so that</w:t>
      </w:r>
      <w:r w:rsidR="00165715">
        <w:t xml:space="preserve"> MOHCD will remove the </w:t>
      </w:r>
      <w:r w:rsidR="00165715">
        <w:lastRenderedPageBreak/>
        <w:t xml:space="preserve">status. </w:t>
      </w:r>
      <w:r w:rsidRPr="00335DC0">
        <w:t xml:space="preserve">MOHCD will continue to </w:t>
      </w:r>
      <w:r w:rsidR="00165715">
        <w:t>communicate</w:t>
      </w:r>
      <w:r w:rsidRPr="00335DC0">
        <w:t xml:space="preserve"> with the nonprofit</w:t>
      </w:r>
      <w:r w:rsidR="00165715">
        <w:t>’s</w:t>
      </w:r>
      <w:r w:rsidRPr="00335DC0">
        <w:t xml:space="preserve"> leadership, including the board of directors, to make progress on the implementation of corrective action and will consider technical assistance, as appropriate.</w:t>
      </w:r>
    </w:p>
    <w:p w14:paraId="63F1753D" w14:textId="77777777" w:rsidR="00DC440A" w:rsidRPr="00335DC0" w:rsidRDefault="00DC440A" w:rsidP="00DC440A">
      <w:pPr>
        <w:pStyle w:val="Default"/>
        <w:rPr>
          <w:rFonts w:ascii="Times New Roman" w:hAnsi="Times New Roman" w:cs="Times New Roman"/>
          <w:color w:val="auto"/>
        </w:rPr>
      </w:pPr>
    </w:p>
    <w:p w14:paraId="3DB6A908" w14:textId="766F1AA2" w:rsidR="00DC440A" w:rsidRPr="00335DC0" w:rsidRDefault="00DC440A" w:rsidP="001C507B">
      <w:pPr>
        <w:pStyle w:val="Default"/>
      </w:pPr>
      <w:r w:rsidRPr="00335DC0">
        <w:rPr>
          <w:rFonts w:ascii="Times New Roman" w:hAnsi="Times New Roman" w:cs="Times New Roman"/>
          <w:b/>
          <w:color w:val="auto"/>
        </w:rPr>
        <w:t>De-funding</w:t>
      </w:r>
      <w:r w:rsidRPr="00335DC0">
        <w:rPr>
          <w:rFonts w:ascii="Times New Roman" w:hAnsi="Times New Roman" w:cs="Times New Roman"/>
          <w:color w:val="auto"/>
        </w:rPr>
        <w:t xml:space="preserve"> </w:t>
      </w:r>
      <w:r w:rsidR="008C4B00" w:rsidRPr="00335DC0">
        <w:t>–</w:t>
      </w:r>
      <w:r w:rsidRPr="00335DC0">
        <w:rPr>
          <w:rFonts w:ascii="Times New Roman" w:hAnsi="Times New Roman" w:cs="Times New Roman"/>
          <w:color w:val="auto"/>
        </w:rPr>
        <w:t xml:space="preserve"> De-funding is a possible ultimate sanction for nonprofits that are out of compliance with MOHCD's grant conditions and on the red flag status list, at th</w:t>
      </w:r>
      <w:r w:rsidR="00165715">
        <w:rPr>
          <w:rFonts w:ascii="Times New Roman" w:hAnsi="Times New Roman" w:cs="Times New Roman"/>
          <w:color w:val="auto"/>
        </w:rPr>
        <w:t>e discretion of the department/</w:t>
      </w:r>
      <w:r w:rsidRPr="00335DC0">
        <w:rPr>
          <w:rFonts w:ascii="Times New Roman" w:hAnsi="Times New Roman" w:cs="Times New Roman"/>
          <w:color w:val="auto"/>
        </w:rPr>
        <w:t xml:space="preserve">division head. MOHCD will allow the nonprofit to present any evidence of their compliance if the nonprofit contends that the department's underlying determination of deficiencies is erroneous.   </w:t>
      </w:r>
    </w:p>
    <w:p w14:paraId="707BCD60" w14:textId="77777777" w:rsidR="00DC440A" w:rsidRPr="00335DC0" w:rsidRDefault="00DC440A" w:rsidP="00DC440A"/>
    <w:p w14:paraId="5980AF09" w14:textId="756BABEE" w:rsidR="00DC440A" w:rsidRPr="00335DC0" w:rsidRDefault="00DC440A" w:rsidP="00DC440A">
      <w:r w:rsidRPr="00335DC0">
        <w:rPr>
          <w:b/>
        </w:rPr>
        <w:t>Elevated concern and red flag list</w:t>
      </w:r>
      <w:r w:rsidRPr="00335DC0">
        <w:t xml:space="preserve"> – </w:t>
      </w:r>
      <w:r w:rsidR="00AE20E9" w:rsidRPr="00335DC0">
        <w:t>MOHCD</w:t>
      </w:r>
      <w:r w:rsidRPr="00335DC0">
        <w:t xml:space="preserve"> will keep an ongoing list of those nonprofits with elevated concern and red flag status and the reason(s) why, as well </w:t>
      </w:r>
      <w:r w:rsidR="00FD1068">
        <w:t xml:space="preserve">as regularly notify </w:t>
      </w:r>
      <w:r w:rsidR="008C4B00">
        <w:t xml:space="preserve">its advisory body, </w:t>
      </w:r>
      <w:r w:rsidR="00FD1068">
        <w:t xml:space="preserve"> Citizen</w:t>
      </w:r>
      <w:r w:rsidRPr="00335DC0">
        <w:t>s</w:t>
      </w:r>
      <w:r w:rsidR="00FD1068">
        <w:t>’</w:t>
      </w:r>
      <w:r w:rsidRPr="00335DC0">
        <w:t xml:space="preserve"> Commi</w:t>
      </w:r>
      <w:r w:rsidR="00E4177B">
        <w:t xml:space="preserve">ttee on Community Development. </w:t>
      </w:r>
      <w:r w:rsidR="00AE20E9" w:rsidRPr="00335DC0">
        <w:t>MOHCD</w:t>
      </w:r>
      <w:r w:rsidRPr="00335DC0">
        <w:t xml:space="preserve"> will also provide these lists to the Controller’s Office on a quarterly basis, and the Controller’s Office will distribute a consolidated list citywide, including</w:t>
      </w:r>
      <w:r w:rsidR="00E4177B">
        <w:t xml:space="preserve"> to</w:t>
      </w:r>
      <w:r w:rsidRPr="00335DC0">
        <w:t xml:space="preserve"> the Mayor’s Budget Office and Board of Supervisors. </w:t>
      </w:r>
    </w:p>
    <w:p w14:paraId="38C7D8D7" w14:textId="77777777" w:rsidR="00DC440A" w:rsidRPr="00335DC0" w:rsidRDefault="00DC440A" w:rsidP="00DC440A">
      <w:pPr>
        <w:pStyle w:val="ListParagraph"/>
        <w:rPr>
          <w:szCs w:val="24"/>
        </w:rPr>
      </w:pPr>
    </w:p>
    <w:p w14:paraId="65D69183" w14:textId="005512FA" w:rsidR="00DC440A" w:rsidRDefault="00DC440A" w:rsidP="00DC440A">
      <w:bookmarkStart w:id="2" w:name="_Hlk167275027"/>
      <w:r w:rsidRPr="00335DC0">
        <w:rPr>
          <w:b/>
        </w:rPr>
        <w:t>Funding limitations</w:t>
      </w:r>
      <w:r w:rsidRPr="00335DC0">
        <w:t xml:space="preserve"> – </w:t>
      </w:r>
      <w:r w:rsidR="00E433B1" w:rsidRPr="002D48A8">
        <w:t>Grantees or applicants under a red flag status will be subject to additional terms and conditions related to fiscal management and monitoring</w:t>
      </w:r>
      <w:r w:rsidR="00E433B1" w:rsidRPr="002D48A8">
        <w:rPr>
          <w:color w:val="2F5496"/>
        </w:rPr>
        <w:t>.</w:t>
      </w:r>
      <w:r w:rsidR="00E433B1">
        <w:rPr>
          <w:rFonts w:ascii="Calibri" w:hAnsi="Calibri" w:cs="Calibri"/>
          <w:color w:val="2F5496"/>
        </w:rPr>
        <w:t xml:space="preserve">  </w:t>
      </w:r>
      <w:r w:rsidRPr="00335DC0">
        <w:t xml:space="preserve">Note that nonprofits on the list strictly due to programmatic reasons are still eligible to apply for additional City </w:t>
      </w:r>
      <w:proofErr w:type="gramStart"/>
      <w:r w:rsidRPr="00335DC0">
        <w:t>funding, but</w:t>
      </w:r>
      <w:proofErr w:type="gramEnd"/>
      <w:r w:rsidRPr="00335DC0">
        <w:t xml:space="preserve"> may not be as competitive</w:t>
      </w:r>
      <w:r w:rsidR="00E4177B">
        <w:t xml:space="preserve"> to receive ongoing funding. </w:t>
      </w:r>
      <w:r w:rsidR="00AE20E9" w:rsidRPr="00335DC0">
        <w:t>MOHCD</w:t>
      </w:r>
      <w:r w:rsidRPr="00335DC0">
        <w:t xml:space="preserve"> </w:t>
      </w:r>
      <w:r w:rsidR="00FD1068">
        <w:t>may</w:t>
      </w:r>
      <w:r w:rsidRPr="00335DC0">
        <w:t xml:space="preserve"> include minimum qualifications in its solicitati</w:t>
      </w:r>
      <w:r w:rsidR="00E4177B">
        <w:t xml:space="preserve">ons that nonprofits must be in </w:t>
      </w:r>
      <w:r w:rsidRPr="00335DC0">
        <w:t xml:space="preserve">good standing and in compliance with </w:t>
      </w:r>
      <w:r w:rsidR="00AE20E9" w:rsidRPr="00335DC0">
        <w:t>MOHCD</w:t>
      </w:r>
      <w:r w:rsidRPr="00335DC0">
        <w:t xml:space="preserve">, </w:t>
      </w:r>
      <w:r w:rsidR="00A74683">
        <w:t xml:space="preserve">were they previously </w:t>
      </w:r>
      <w:r w:rsidRPr="00335DC0">
        <w:t>fund</w:t>
      </w:r>
      <w:r w:rsidR="00A74683">
        <w:t>ed</w:t>
      </w:r>
      <w:r w:rsidR="00E4177B">
        <w:t xml:space="preserve">. </w:t>
      </w:r>
      <w:r w:rsidRPr="00335DC0">
        <w:t>Nonprofits that have not submitted an approved corrective action plan (e.g., those nonp</w:t>
      </w:r>
      <w:r w:rsidR="00E4177B">
        <w:t>rofits on the elevated concern/</w:t>
      </w:r>
      <w:r w:rsidRPr="00335DC0">
        <w:t xml:space="preserve">red flag status list) on fiscal and compliance elements are not in good standing and thus </w:t>
      </w:r>
      <w:r w:rsidR="0059423B">
        <w:t>may</w:t>
      </w:r>
      <w:r w:rsidRPr="00335DC0">
        <w:t xml:space="preserve"> not meet the minimum qualifications required to be </w:t>
      </w:r>
      <w:r w:rsidR="00E4177B">
        <w:t xml:space="preserve">eligible for new grant awards. </w:t>
      </w:r>
      <w:r w:rsidR="00AE20E9" w:rsidRPr="00335DC0">
        <w:t>MOHCD</w:t>
      </w:r>
      <w:r w:rsidRPr="00335DC0">
        <w:t xml:space="preserve"> wi</w:t>
      </w:r>
      <w:r w:rsidR="00E4177B">
        <w:t>ll review the elevated concern/</w:t>
      </w:r>
      <w:r w:rsidRPr="00335DC0">
        <w:t>red flag status list before awarding a grant or contract.</w:t>
      </w:r>
    </w:p>
    <w:bookmarkEnd w:id="2"/>
    <w:p w14:paraId="792DC8CD" w14:textId="2D6D8D01" w:rsidR="00E4177B" w:rsidRPr="0059423B" w:rsidRDefault="00E4177B" w:rsidP="00E4177B"/>
    <w:p w14:paraId="6C7D488C" w14:textId="54315FBD" w:rsidR="00E4177B" w:rsidRPr="00335DC0" w:rsidRDefault="00E4177B" w:rsidP="00E4177B">
      <w:r w:rsidRPr="00335DC0">
        <w:rPr>
          <w:b/>
        </w:rPr>
        <w:t>Whistleblower referral</w:t>
      </w:r>
      <w:r>
        <w:t xml:space="preserve"> </w:t>
      </w:r>
      <w:r w:rsidR="008C4B00" w:rsidRPr="00335DC0">
        <w:t>–</w:t>
      </w:r>
      <w:r>
        <w:t xml:space="preserve"> In cases of suspected/</w:t>
      </w:r>
      <w:r w:rsidRPr="00335DC0">
        <w:t>alleged fraud (as opposed to fiscal mismanagement)</w:t>
      </w:r>
      <w:r>
        <w:t>,</w:t>
      </w:r>
      <w:r w:rsidRPr="00335DC0">
        <w:t xml:space="preserve"> MOHCD will contact the </w:t>
      </w:r>
      <w:r>
        <w:t>Controller’s Office Whistleblower Program.</w:t>
      </w:r>
    </w:p>
    <w:p w14:paraId="1D55083D" w14:textId="77777777" w:rsidR="00E4177B" w:rsidRPr="00335DC0" w:rsidRDefault="00E4177B" w:rsidP="00E4177B">
      <w:pPr>
        <w:pStyle w:val="ListParagraph"/>
        <w:rPr>
          <w:szCs w:val="24"/>
        </w:rPr>
      </w:pPr>
    </w:p>
    <w:p w14:paraId="6229DCDB" w14:textId="0532B306" w:rsidR="00E4177B" w:rsidRPr="00335DC0" w:rsidRDefault="00E4177B" w:rsidP="00E4177B">
      <w:pPr>
        <w:pStyle w:val="ListParagraph"/>
        <w:ind w:left="0"/>
        <w:rPr>
          <w:szCs w:val="24"/>
        </w:rPr>
      </w:pPr>
      <w:r w:rsidRPr="00335DC0">
        <w:rPr>
          <w:b/>
          <w:szCs w:val="24"/>
        </w:rPr>
        <w:t>HRC referral</w:t>
      </w:r>
      <w:r>
        <w:rPr>
          <w:szCs w:val="24"/>
        </w:rPr>
        <w:t xml:space="preserve"> </w:t>
      </w:r>
      <w:r w:rsidR="008C4B00" w:rsidRPr="00335DC0">
        <w:t>–</w:t>
      </w:r>
      <w:r>
        <w:rPr>
          <w:szCs w:val="24"/>
        </w:rPr>
        <w:t xml:space="preserve"> In cases of suspected/</w:t>
      </w:r>
      <w:r w:rsidRPr="00335DC0">
        <w:rPr>
          <w:szCs w:val="24"/>
        </w:rPr>
        <w:t xml:space="preserve">alleged discrimination, MOHCD will contact the Human Rights Commission.   </w:t>
      </w:r>
    </w:p>
    <w:p w14:paraId="7B0AAF72" w14:textId="77777777" w:rsidR="00E4177B" w:rsidRPr="00335DC0" w:rsidRDefault="00E4177B" w:rsidP="00E4177B">
      <w:pPr>
        <w:pStyle w:val="ListParagraph"/>
        <w:ind w:left="0"/>
        <w:rPr>
          <w:szCs w:val="24"/>
        </w:rPr>
      </w:pPr>
    </w:p>
    <w:p w14:paraId="63F9AC36" w14:textId="7D863AA2" w:rsidR="00E4177B" w:rsidRPr="00335DC0" w:rsidRDefault="00E4177B" w:rsidP="00E4177B">
      <w:r w:rsidRPr="00335DC0">
        <w:rPr>
          <w:b/>
        </w:rPr>
        <w:t>Vendor debarment</w:t>
      </w:r>
      <w:r w:rsidRPr="00335DC0">
        <w:t xml:space="preserve"> – In cases of egregious misconduct, MOHCD will pursue debarment against any City-funded nonprofit who engages in any willful misconduct with respect to any City b</w:t>
      </w:r>
      <w:r>
        <w:t xml:space="preserve">id, request for qualifications and/or </w:t>
      </w:r>
      <w:r w:rsidRPr="00335DC0">
        <w:t>proposals, p</w:t>
      </w:r>
      <w:r>
        <w:t xml:space="preserve">urchase order and/or contract. </w:t>
      </w:r>
      <w:r w:rsidRPr="00335DC0">
        <w:t>This include</w:t>
      </w:r>
      <w:r>
        <w:t>s failure to comply with grant/</w:t>
      </w:r>
      <w:r w:rsidRPr="00335DC0">
        <w:t>contract terms, unexcused delays, poor performance, and providing false information. Debarment requires a hearing at which</w:t>
      </w:r>
      <w:r>
        <w:t xml:space="preserve"> an attorney can represent</w:t>
      </w:r>
      <w:r w:rsidRPr="00335DC0">
        <w:t xml:space="preserve"> the vendor and present facts and evidence refuting the departmen</w:t>
      </w:r>
      <w:r>
        <w:t xml:space="preserve">t's allegations of misconduct. </w:t>
      </w:r>
      <w:r w:rsidRPr="00335DC0">
        <w:t>The Controller’s Office will include debarred nonprofits on the nonprofit elevated concern and red flag status list, and currently posts them on the internet</w:t>
      </w:r>
      <w:r>
        <w:t xml:space="preserve">. </w:t>
      </w:r>
      <w:r w:rsidRPr="00335DC0">
        <w:t>See Chapter 28 of the San Francisco Administrative Code for more information.</w:t>
      </w:r>
    </w:p>
    <w:p w14:paraId="516B91AA" w14:textId="20CF54DC" w:rsidR="003553DB" w:rsidRPr="0059423B" w:rsidRDefault="00DC440A" w:rsidP="0059423B">
      <w:pPr>
        <w:pStyle w:val="BodyText"/>
        <w:shd w:val="clear" w:color="auto" w:fill="FFFFFF"/>
        <w:ind w:right="288"/>
        <w:textAlignment w:val="top"/>
        <w:rPr>
          <w:szCs w:val="24"/>
        </w:rPr>
      </w:pPr>
      <w:r w:rsidRPr="00335DC0">
        <w:rPr>
          <w:rStyle w:val="Hyperlink"/>
          <w:color w:val="auto"/>
        </w:rPr>
        <w:br w:type="page"/>
      </w:r>
      <w:r w:rsidR="003553DB" w:rsidRPr="00F862A2">
        <w:rPr>
          <w:b/>
          <w:sz w:val="32"/>
          <w:szCs w:val="32"/>
        </w:rPr>
        <w:lastRenderedPageBreak/>
        <w:t>CHAPTER VI. GENERAL ADMINISTRATIVE PROCEDURES</w:t>
      </w:r>
      <w:bookmarkStart w:id="3" w:name="_Toc482068892"/>
    </w:p>
    <w:bookmarkEnd w:id="3"/>
    <w:p w14:paraId="26C00851" w14:textId="77777777" w:rsidR="003553DB" w:rsidRPr="00335DC0" w:rsidRDefault="003553DB" w:rsidP="00583092">
      <w:pPr>
        <w:tabs>
          <w:tab w:val="center" w:pos="90"/>
        </w:tabs>
        <w:ind w:left="360" w:right="-86"/>
      </w:pPr>
    </w:p>
    <w:p w14:paraId="300BD1EF" w14:textId="77777777" w:rsidR="003553DB" w:rsidRPr="00F862A2" w:rsidRDefault="00C511BA" w:rsidP="00583092">
      <w:pPr>
        <w:rPr>
          <w:b/>
          <w:bCs/>
          <w:u w:val="single"/>
        </w:rPr>
      </w:pPr>
      <w:r w:rsidRPr="00F862A2">
        <w:rPr>
          <w:b/>
          <w:bCs/>
          <w:u w:val="single"/>
        </w:rPr>
        <w:t>A.  EQUAL EMPLOYMENT OPPORTUNITY</w:t>
      </w:r>
    </w:p>
    <w:p w14:paraId="508194BE" w14:textId="77777777" w:rsidR="003553DB" w:rsidRPr="00335DC0" w:rsidRDefault="003553DB" w:rsidP="00583092"/>
    <w:p w14:paraId="16340B7A" w14:textId="77777777" w:rsidR="003553DB" w:rsidRPr="00335DC0" w:rsidRDefault="003553DB" w:rsidP="00583092">
      <w:r w:rsidRPr="00335DC0">
        <w:t>Grantees must:</w:t>
      </w:r>
    </w:p>
    <w:p w14:paraId="65A9019D" w14:textId="77777777" w:rsidR="003553DB" w:rsidRPr="00335DC0" w:rsidRDefault="003553DB" w:rsidP="00C3152C">
      <w:pPr>
        <w:numPr>
          <w:ilvl w:val="0"/>
          <w:numId w:val="23"/>
        </w:numPr>
      </w:pPr>
      <w:r w:rsidRPr="00335DC0">
        <w:t xml:space="preserve">Not discriminate against any employee or applicant for employment on the basis of race, color, creed, national origin, ancestry, age, sex, sexual orientation, gender identity, height, weight or disability in hiring, promotions, demotions, transfers, recruitment, advertising, layoff, termination, rate of pay or other forms of compensation, and selection for training, including apprenticeship.  </w:t>
      </w:r>
    </w:p>
    <w:p w14:paraId="1FAFCA04" w14:textId="77777777" w:rsidR="003553DB" w:rsidRPr="00335DC0" w:rsidRDefault="003553DB" w:rsidP="00C3152C">
      <w:pPr>
        <w:numPr>
          <w:ilvl w:val="0"/>
          <w:numId w:val="23"/>
        </w:numPr>
      </w:pPr>
      <w:r w:rsidRPr="00335DC0">
        <w:t xml:space="preserve">Post a non-discrimination policy in a conspicuous place accessible to all employees and applicants for employment.  </w:t>
      </w:r>
    </w:p>
    <w:p w14:paraId="35E5B719" w14:textId="77777777" w:rsidR="003553DB" w:rsidRPr="00335DC0" w:rsidRDefault="003553DB" w:rsidP="00C3152C">
      <w:pPr>
        <w:numPr>
          <w:ilvl w:val="0"/>
          <w:numId w:val="23"/>
        </w:numPr>
      </w:pPr>
      <w:r w:rsidRPr="00335DC0">
        <w:t xml:space="preserve">Establish equal employment opportunity policies and procedures that are fair and equitable to all classifications of employees.  </w:t>
      </w:r>
    </w:p>
    <w:p w14:paraId="48AE0409" w14:textId="77777777" w:rsidR="003553DB" w:rsidRPr="00335DC0" w:rsidRDefault="003553DB" w:rsidP="00C3152C">
      <w:pPr>
        <w:numPr>
          <w:ilvl w:val="0"/>
          <w:numId w:val="23"/>
        </w:numPr>
      </w:pPr>
      <w:r w:rsidRPr="00335DC0">
        <w:t xml:space="preserve">Not arbitrarily administer these policies to deny an employee benefits or consideration normally available to other employees.  </w:t>
      </w:r>
    </w:p>
    <w:p w14:paraId="56DDB1D2" w14:textId="77777777" w:rsidR="003553DB" w:rsidRPr="00335DC0" w:rsidRDefault="003553DB" w:rsidP="00C3152C">
      <w:pPr>
        <w:numPr>
          <w:ilvl w:val="0"/>
          <w:numId w:val="23"/>
        </w:numPr>
      </w:pPr>
      <w:r w:rsidRPr="00335DC0">
        <w:t xml:space="preserve">Consider all applications for employment and promotion on the basis of qualification, ability, and experience.  </w:t>
      </w:r>
    </w:p>
    <w:p w14:paraId="11FBBC5A" w14:textId="77777777" w:rsidR="003553DB" w:rsidRPr="00335DC0" w:rsidRDefault="003553DB" w:rsidP="00583092"/>
    <w:p w14:paraId="0175943A" w14:textId="77777777" w:rsidR="003553DB" w:rsidRPr="00F862A2" w:rsidRDefault="00C511BA" w:rsidP="00583092">
      <w:pPr>
        <w:pStyle w:val="Heading4"/>
        <w:spacing w:before="0" w:after="0"/>
        <w:rPr>
          <w:rFonts w:ascii="Times New Roman" w:hAnsi="Times New Roman"/>
          <w:bCs/>
          <w:szCs w:val="24"/>
          <w:u w:val="single"/>
        </w:rPr>
      </w:pPr>
      <w:r w:rsidRPr="00F862A2">
        <w:rPr>
          <w:rFonts w:ascii="Times New Roman" w:hAnsi="Times New Roman"/>
          <w:bCs/>
          <w:szCs w:val="24"/>
          <w:u w:val="single"/>
        </w:rPr>
        <w:t>B.  EMPLOYMENT POLICIES AND PROCEDURES</w:t>
      </w:r>
    </w:p>
    <w:p w14:paraId="16C42C25" w14:textId="77777777" w:rsidR="003553DB" w:rsidRPr="00335DC0" w:rsidRDefault="003553DB" w:rsidP="00583092"/>
    <w:p w14:paraId="7EDE4E52" w14:textId="77777777" w:rsidR="003553DB" w:rsidRPr="00335DC0" w:rsidRDefault="003553DB" w:rsidP="00583092">
      <w:r w:rsidRPr="00335DC0">
        <w:t>Grantees must:</w:t>
      </w:r>
    </w:p>
    <w:p w14:paraId="316FA50D" w14:textId="77777777" w:rsidR="003553DB" w:rsidRPr="00335DC0" w:rsidRDefault="003553DB" w:rsidP="00C3152C">
      <w:pPr>
        <w:numPr>
          <w:ilvl w:val="0"/>
          <w:numId w:val="24"/>
        </w:numPr>
        <w:rPr>
          <w:u w:val="single"/>
        </w:rPr>
      </w:pPr>
      <w:r w:rsidRPr="00335DC0">
        <w:t xml:space="preserve">Maintain employment policies and procedures that address recruitment, hiring, promotion, demotion, suspension, termination, and grievances and include written job descriptions with qualifications, salary schedule, and benefits, and the line of authority of staff persons.  </w:t>
      </w:r>
    </w:p>
    <w:p w14:paraId="231BAC55" w14:textId="77777777" w:rsidR="003553DB" w:rsidRPr="00335DC0" w:rsidRDefault="003553DB" w:rsidP="00C3152C">
      <w:pPr>
        <w:numPr>
          <w:ilvl w:val="0"/>
          <w:numId w:val="24"/>
        </w:numPr>
        <w:rPr>
          <w:u w:val="single"/>
        </w:rPr>
      </w:pPr>
      <w:r w:rsidRPr="00335DC0">
        <w:t>Maintain adequate employment records for every staff person including IRS withholding info and USCIS authorized work permits.</w:t>
      </w:r>
    </w:p>
    <w:p w14:paraId="77AEECBA" w14:textId="77777777" w:rsidR="003553DB" w:rsidRPr="00335DC0" w:rsidRDefault="003553DB" w:rsidP="00583092"/>
    <w:p w14:paraId="0CBC9016" w14:textId="77777777" w:rsidR="003553DB" w:rsidRPr="00F862A2" w:rsidRDefault="00C511BA" w:rsidP="00583092">
      <w:pPr>
        <w:pStyle w:val="Heading4"/>
        <w:spacing w:before="0" w:after="0"/>
        <w:rPr>
          <w:rFonts w:ascii="Times New Roman" w:hAnsi="Times New Roman"/>
          <w:bCs/>
          <w:szCs w:val="24"/>
          <w:u w:val="single"/>
        </w:rPr>
      </w:pPr>
      <w:r w:rsidRPr="00F862A2">
        <w:rPr>
          <w:rFonts w:ascii="Times New Roman" w:hAnsi="Times New Roman"/>
          <w:bCs/>
          <w:szCs w:val="24"/>
          <w:u w:val="single"/>
        </w:rPr>
        <w:t>C.  BOARD OF DIRECTORS</w:t>
      </w:r>
    </w:p>
    <w:p w14:paraId="38F060DA" w14:textId="77777777" w:rsidR="003553DB" w:rsidRPr="00335DC0" w:rsidRDefault="003553DB" w:rsidP="00583092"/>
    <w:p w14:paraId="78C06242" w14:textId="4AC962A1" w:rsidR="003553DB" w:rsidRPr="00335DC0" w:rsidRDefault="003553DB" w:rsidP="00583092">
      <w:r w:rsidRPr="00335DC0">
        <w:t xml:space="preserve">Membership on the organization’s Board of Directors should include members who adequately represent different neighborhoods and interest groups of the organization’s targeted neighborhood or </w:t>
      </w:r>
      <w:r w:rsidR="00C241B5">
        <w:t xml:space="preserve">service </w:t>
      </w:r>
      <w:r w:rsidRPr="00335DC0">
        <w:t xml:space="preserve">population, particularly low- and moderate-income persons for whom services are being provided.  The Board of Directors must consist of at least seven (7) active members.  Board meetings must occur no less than quarterly and the majority of regular meetings must be held in San Francisco during the grant term.  Two board meetings per year must be announced and open to the public if the organization receives $250,000 or more from the City and County </w:t>
      </w:r>
      <w:r w:rsidR="00FE78CA">
        <w:t xml:space="preserve">of </w:t>
      </w:r>
      <w:r w:rsidRPr="00335DC0">
        <w:t>San Francisco.  The organization’s Executive Director should not be a voting member of the Board of Directors.</w:t>
      </w:r>
    </w:p>
    <w:p w14:paraId="078680BB" w14:textId="77777777" w:rsidR="003553DB" w:rsidRPr="00335DC0" w:rsidRDefault="003553DB" w:rsidP="00583092"/>
    <w:p w14:paraId="4E05380F" w14:textId="738D546B" w:rsidR="003553DB" w:rsidRPr="00335DC0" w:rsidRDefault="003553DB" w:rsidP="00583092">
      <w:r w:rsidRPr="00335DC0">
        <w:t xml:space="preserve">Grantees should make necessary amendments to </w:t>
      </w:r>
      <w:r w:rsidR="0073165F">
        <w:t>their</w:t>
      </w:r>
      <w:r w:rsidR="0073165F" w:rsidRPr="00335DC0">
        <w:t xml:space="preserve"> </w:t>
      </w:r>
      <w:r w:rsidRPr="00335DC0">
        <w:t xml:space="preserve">Articles of Incorporation and/or By-Laws to comply with these conditions.  These amendments must occur prior to disbursement of contract funds.  Organizations must notify </w:t>
      </w:r>
      <w:r w:rsidR="00AE20E9" w:rsidRPr="00335DC0">
        <w:t>MOHCD</w:t>
      </w:r>
      <w:r w:rsidRPr="00335DC0">
        <w:t xml:space="preserve"> in writing upon any change of Board Officers, Executive Director, MO</w:t>
      </w:r>
      <w:r w:rsidR="00C716A9">
        <w:t>HC</w:t>
      </w:r>
      <w:r w:rsidR="00D075EC">
        <w:t>D</w:t>
      </w:r>
      <w:r w:rsidRPr="00335DC0">
        <w:t>/OEWD</w:t>
      </w:r>
      <w:r w:rsidR="00C716A9">
        <w:t>-</w:t>
      </w:r>
      <w:r w:rsidRPr="00335DC0">
        <w:t>funded staff, fiscal auditors or program site closure/relocation within 15 days of the occurrence.  Grantees must also notify MOH</w:t>
      </w:r>
      <w:r w:rsidR="00C716A9">
        <w:t>CD</w:t>
      </w:r>
      <w:r w:rsidRPr="00335DC0">
        <w:t xml:space="preserve">/OEWD </w:t>
      </w:r>
      <w:r w:rsidRPr="00335DC0">
        <w:lastRenderedPageBreak/>
        <w:t xml:space="preserve">should the number of active members of the Board fall below seven or if the Board fails to meet in any quarter.  </w:t>
      </w:r>
    </w:p>
    <w:p w14:paraId="39448525" w14:textId="77777777" w:rsidR="003553DB" w:rsidRPr="00335DC0" w:rsidRDefault="003553DB" w:rsidP="00583092">
      <w:pPr>
        <w:rPr>
          <w:iCs/>
        </w:rPr>
      </w:pPr>
    </w:p>
    <w:p w14:paraId="76E99ECD" w14:textId="77777777" w:rsidR="00EB7045" w:rsidRPr="00F862A2" w:rsidRDefault="00EB7045" w:rsidP="00EB7045">
      <w:pPr>
        <w:pStyle w:val="Heading4"/>
        <w:spacing w:before="0" w:after="0"/>
        <w:rPr>
          <w:rFonts w:ascii="Times New Roman" w:hAnsi="Times New Roman"/>
          <w:bCs/>
          <w:i/>
          <w:iCs/>
          <w:szCs w:val="24"/>
          <w:u w:val="single"/>
        </w:rPr>
      </w:pPr>
      <w:r w:rsidRPr="00F862A2">
        <w:rPr>
          <w:rFonts w:ascii="Times New Roman" w:hAnsi="Times New Roman"/>
          <w:bCs/>
          <w:iCs/>
          <w:szCs w:val="24"/>
          <w:u w:val="single"/>
        </w:rPr>
        <w:t xml:space="preserve">D.  </w:t>
      </w:r>
      <w:r>
        <w:rPr>
          <w:rFonts w:ascii="Times New Roman" w:hAnsi="Times New Roman"/>
          <w:bCs/>
          <w:iCs/>
          <w:szCs w:val="24"/>
          <w:u w:val="single"/>
        </w:rPr>
        <w:t>PUBLIC ACCESS TO RECORDS AND MEETINGS OF NONPROFIT ORGANIZATIONS</w:t>
      </w:r>
    </w:p>
    <w:p w14:paraId="7B7E1861" w14:textId="77777777" w:rsidR="00EB7045" w:rsidRPr="00335DC0" w:rsidRDefault="00EB7045" w:rsidP="00EB7045"/>
    <w:p w14:paraId="2F7A2F76" w14:textId="77777777" w:rsidR="00EB7045" w:rsidRPr="00335DC0" w:rsidRDefault="00EB7045" w:rsidP="00EB7045">
      <w:r>
        <w:t xml:space="preserve">Chapter 12L of the San Francisco Administrative Code establishes a policy that ensures that nonprofit organizations </w:t>
      </w:r>
      <w:r w:rsidRPr="00665A6D">
        <w:t>operate with the greatest possible openness and maintain the closest possible ties to communities they intend to serve</w:t>
      </w:r>
      <w:r>
        <w:t xml:space="preserve">.  Chapter 12L </w:t>
      </w:r>
      <w:r w:rsidRPr="00335DC0">
        <w:t xml:space="preserve">is applicable to any non-profit organization that receives a total of $250,000 or more in funds through grants or contracts from City agencies in a given City fiscal year.  </w:t>
      </w:r>
    </w:p>
    <w:p w14:paraId="7D7B7CD5" w14:textId="77777777" w:rsidR="00EB7045" w:rsidRPr="00335DC0" w:rsidRDefault="00EB7045" w:rsidP="00EB7045"/>
    <w:p w14:paraId="0570F5B6" w14:textId="0FEC90AC" w:rsidR="00EB7045" w:rsidRPr="00335DC0" w:rsidRDefault="00EB7045" w:rsidP="00EB7045">
      <w:r w:rsidRPr="00335DC0">
        <w:t xml:space="preserve">Non-profit organizations that receive $250,000 or more per year in City funding must 1) open at least two Board of Directors meetings per year to the general public, 2) make certain financial documents publicly available and 3) make good faith efforts to encourage members of the community served by the non-profit organization to join the Board of Directors.  </w:t>
      </w:r>
    </w:p>
    <w:p w14:paraId="598F042F" w14:textId="77777777" w:rsidR="00EB7045" w:rsidRPr="00335DC0" w:rsidRDefault="00EB7045" w:rsidP="00EB7045"/>
    <w:p w14:paraId="5EA05A56" w14:textId="77777777" w:rsidR="00EB7045" w:rsidRPr="00335DC0" w:rsidRDefault="00EB7045" w:rsidP="00EB7045">
      <w:r w:rsidRPr="00335DC0">
        <w:t>Compliance includes the following requirements:</w:t>
      </w:r>
    </w:p>
    <w:p w14:paraId="48B67839" w14:textId="77777777" w:rsidR="00EB7045" w:rsidRPr="00335DC0" w:rsidRDefault="00EB7045" w:rsidP="00EB7045">
      <w:pPr>
        <w:rPr>
          <w:i/>
          <w:iCs/>
        </w:rPr>
      </w:pPr>
    </w:p>
    <w:p w14:paraId="1B2EFA87" w14:textId="0176DD72" w:rsidR="00EB7045" w:rsidRPr="006031E7" w:rsidRDefault="00EB7045" w:rsidP="00EB7045">
      <w:pPr>
        <w:ind w:left="360"/>
      </w:pPr>
      <w:r w:rsidRPr="0099428C">
        <w:rPr>
          <w:bCs/>
        </w:rPr>
        <w:t xml:space="preserve">1.  Board </w:t>
      </w:r>
      <w:r w:rsidR="002B6AAB">
        <w:rPr>
          <w:bCs/>
        </w:rPr>
        <w:t>M</w:t>
      </w:r>
      <w:r w:rsidRPr="0099428C">
        <w:rPr>
          <w:bCs/>
        </w:rPr>
        <w:t>eetings</w:t>
      </w:r>
    </w:p>
    <w:p w14:paraId="744DBC05" w14:textId="593B065B" w:rsidR="00EB7045" w:rsidRPr="00335DC0" w:rsidRDefault="00EB7045" w:rsidP="00EB7045">
      <w:pPr>
        <w:ind w:left="360"/>
      </w:pPr>
      <w:r w:rsidRPr="00335DC0">
        <w:t>Non-profit organizations must publicly notice the two regularly</w:t>
      </w:r>
      <w:r w:rsidR="00534963">
        <w:t>-</w:t>
      </w:r>
      <w:r w:rsidRPr="00335DC0">
        <w:t xml:space="preserve">scheduled Board of Director meetings per year.  One of these meetings should be the annual meeting where the Board normally takes nominations to elect Board members.  The organization must send the announcement of the open Board meeting at least 30 days in advance of the meeting, to the </w:t>
      </w:r>
      <w:hyperlink r:id="rId22" w:history="1">
        <w:r w:rsidRPr="006C3F27">
          <w:rPr>
            <w:rStyle w:val="Hyperlink"/>
          </w:rPr>
          <w:t>Clerk of the Board of Supervisors</w:t>
        </w:r>
      </w:hyperlink>
      <w:r w:rsidRPr="00335DC0">
        <w:t xml:space="preserve"> and to the </w:t>
      </w:r>
      <w:hyperlink r:id="rId23" w:history="1">
        <w:r w:rsidRPr="006C3F27">
          <w:rPr>
            <w:rStyle w:val="Hyperlink"/>
          </w:rPr>
          <w:t>S.F. Public Library</w:t>
        </w:r>
      </w:hyperlink>
      <w:r w:rsidRPr="00335DC0">
        <w:t xml:space="preserve"> main branch.</w:t>
      </w:r>
    </w:p>
    <w:p w14:paraId="653307BF" w14:textId="77777777" w:rsidR="00EB7045" w:rsidRPr="00335DC0" w:rsidRDefault="00EB7045" w:rsidP="00EB7045">
      <w:pPr>
        <w:ind w:left="360"/>
      </w:pPr>
    </w:p>
    <w:p w14:paraId="71BD1502" w14:textId="77777777" w:rsidR="00EB7045" w:rsidRPr="0099428C" w:rsidRDefault="00EB7045" w:rsidP="00EB7045">
      <w:pPr>
        <w:ind w:left="360"/>
        <w:rPr>
          <w:bCs/>
        </w:rPr>
      </w:pPr>
      <w:r w:rsidRPr="0099428C">
        <w:rPr>
          <w:bCs/>
        </w:rPr>
        <w:t>2.  Financial Documents</w:t>
      </w:r>
    </w:p>
    <w:p w14:paraId="7DDBD9C5" w14:textId="2C32308B" w:rsidR="00EB7045" w:rsidRPr="00335DC0" w:rsidRDefault="006C3F27" w:rsidP="00EB7045">
      <w:pPr>
        <w:ind w:left="360"/>
      </w:pPr>
      <w:r>
        <w:t>Non-profit organizations</w:t>
      </w:r>
      <w:r w:rsidRPr="006C3F27">
        <w:t xml:space="preserve"> must maintain and make available for public inspection within 10 days of request (1) most recent budget, (2) most recently filed State and federal tax returns, and (3) any financial audits and performance evaluations performed by or for the City pursuant to a City contract</w:t>
      </w:r>
      <w:r>
        <w:t>. We recommend you c</w:t>
      </w:r>
      <w:r w:rsidR="00EB7045" w:rsidRPr="00335DC0">
        <w:t xml:space="preserve">reate a binder with </w:t>
      </w:r>
      <w:r>
        <w:t>those</w:t>
      </w:r>
      <w:r w:rsidR="00EB7045" w:rsidRPr="00335DC0">
        <w:t xml:space="preserve"> financial documents</w:t>
      </w:r>
      <w:r>
        <w:t xml:space="preserve"> so they are easily accessible upon request.</w:t>
      </w:r>
      <w:r w:rsidR="00EB7045" w:rsidRPr="00335DC0">
        <w:t xml:space="preserve">.  </w:t>
      </w:r>
    </w:p>
    <w:p w14:paraId="69DEACF4" w14:textId="7CDD0381" w:rsidR="003553DB" w:rsidRPr="00335DC0" w:rsidRDefault="003553DB" w:rsidP="00E4177B"/>
    <w:p w14:paraId="1E9DF8C4" w14:textId="77777777" w:rsidR="003553DB" w:rsidRPr="00F862A2" w:rsidRDefault="00C511BA" w:rsidP="00583092">
      <w:pPr>
        <w:pStyle w:val="Heading4"/>
        <w:spacing w:before="0" w:after="0"/>
        <w:rPr>
          <w:rFonts w:ascii="Times New Roman" w:hAnsi="Times New Roman"/>
          <w:bCs/>
          <w:szCs w:val="24"/>
          <w:u w:val="single"/>
        </w:rPr>
      </w:pPr>
      <w:r w:rsidRPr="00F862A2">
        <w:rPr>
          <w:rFonts w:ascii="Times New Roman" w:hAnsi="Times New Roman"/>
          <w:bCs/>
          <w:szCs w:val="24"/>
          <w:u w:val="single"/>
        </w:rPr>
        <w:t>E. FIRST SOURCE HIRING</w:t>
      </w:r>
    </w:p>
    <w:p w14:paraId="2D5D45CE" w14:textId="77777777" w:rsidR="00C511BA" w:rsidRPr="00F862A2" w:rsidRDefault="00C511BA" w:rsidP="00F862A2"/>
    <w:p w14:paraId="6BB2C9E3" w14:textId="77777777" w:rsidR="0063798F" w:rsidRPr="00335DC0" w:rsidRDefault="0063798F" w:rsidP="0063798F">
      <w:r w:rsidRPr="00335DC0">
        <w:t xml:space="preserve">The First Source Hiring Program requirements apply to any City construction contracts in excess of $350,000, or in excess of $50,000 for services.  </w:t>
      </w:r>
      <w:r>
        <w:t xml:space="preserve">Service contracts awarded from a City department that cumulatively exceed $50,000 are subject to the First Source Hiring Program.  If any agency receives two grants either of which is less than $50,000 but together exceed $50,000, both grants are subject to the </w:t>
      </w:r>
      <w:hyperlink r:id="rId24" w:history="1">
        <w:r w:rsidRPr="00230CB6">
          <w:rPr>
            <w:rStyle w:val="Hyperlink"/>
          </w:rPr>
          <w:t>First Source Hiring Program</w:t>
        </w:r>
      </w:hyperlink>
      <w:r>
        <w:t xml:space="preserve">.  </w:t>
      </w:r>
      <w:r w:rsidRPr="00335DC0">
        <w:t>The First Source Hiring Program was designed to foster construction and permanent employment opportunities for qualified economically</w:t>
      </w:r>
      <w:r>
        <w:t>-</w:t>
      </w:r>
      <w:r w:rsidRPr="00335DC0">
        <w:t xml:space="preserve">disadvantaged individuals.  It imposes certain requirements on entry-level positions for work performed by a contractor in the City, entry-level positions for work performed on the contract in counties contiguous to the City, and entry-level positions for work performed on the contract on property owned by the City.  Grantees who meet the dollar </w:t>
      </w:r>
      <w:r w:rsidRPr="00335DC0">
        <w:lastRenderedPageBreak/>
        <w:t>threshold for the First Source Hiring Program will be required to sign a First Source Hiring Agreement as part of their overall grant conditions</w:t>
      </w:r>
      <w:r>
        <w:t xml:space="preserve"> and register with OEWD</w:t>
      </w:r>
      <w:r w:rsidRPr="00335DC0">
        <w:t>.</w:t>
      </w:r>
    </w:p>
    <w:p w14:paraId="2C788C35" w14:textId="66073CD4" w:rsidR="000F60BA" w:rsidRDefault="000F60BA" w:rsidP="00583092">
      <w:pPr>
        <w:rPr>
          <w:b/>
          <w:bCs/>
        </w:rPr>
      </w:pPr>
    </w:p>
    <w:p w14:paraId="4F679A7B" w14:textId="77777777" w:rsidR="000F60BA" w:rsidRPr="00335DC0" w:rsidRDefault="000F60BA" w:rsidP="00583092">
      <w:pPr>
        <w:rPr>
          <w:b/>
          <w:bCs/>
        </w:rPr>
      </w:pPr>
    </w:p>
    <w:p w14:paraId="30835798" w14:textId="7A3BBD40" w:rsidR="003553DB" w:rsidRPr="00F862A2" w:rsidRDefault="00A15305" w:rsidP="0099428C">
      <w:pPr>
        <w:rPr>
          <w:b/>
          <w:u w:val="single"/>
        </w:rPr>
      </w:pPr>
      <w:r>
        <w:rPr>
          <w:b/>
          <w:u w:val="single"/>
        </w:rPr>
        <w:t xml:space="preserve">F. </w:t>
      </w:r>
      <w:r w:rsidR="00C511BA" w:rsidRPr="00F862A2">
        <w:rPr>
          <w:b/>
          <w:u w:val="single"/>
        </w:rPr>
        <w:t xml:space="preserve">AMERICANS WITH DISABILITIES ACT (ADA) </w:t>
      </w:r>
    </w:p>
    <w:p w14:paraId="39C435B1" w14:textId="77777777" w:rsidR="003553DB" w:rsidRPr="00335DC0" w:rsidRDefault="003553DB" w:rsidP="00583092"/>
    <w:p w14:paraId="374C881D" w14:textId="42A78D0A" w:rsidR="003553DB" w:rsidRPr="00335DC0" w:rsidRDefault="003553DB" w:rsidP="00583092">
      <w:r w:rsidRPr="00335DC0">
        <w:t>The physical site must be accessible to persons with disabilities, the services provided by the contractor must be available to persons with disabilities, the organization must have reasonable accommodations policies and procedures in place, and the staff must be trained and knowledgeable regarding th</w:t>
      </w:r>
      <w:r w:rsidR="00A12B13">
        <w:t>o</w:t>
      </w:r>
      <w:r w:rsidRPr="00335DC0">
        <w:t>se policies and procedures.  The organization should have an agency-wide ADA grievance procedure.  Each contractor must have a site-specific ADA survey on file.  Newly</w:t>
      </w:r>
      <w:r w:rsidR="00A12B13">
        <w:t>-</w:t>
      </w:r>
      <w:r w:rsidRPr="00335DC0">
        <w:t xml:space="preserve">funded organizations will be required to </w:t>
      </w:r>
      <w:r w:rsidR="00D9288C">
        <w:t>complete and submit</w:t>
      </w:r>
      <w:r w:rsidRPr="00335DC0">
        <w:t xml:space="preserve"> a survey before certification of their grant agreement.  Organizations with previous contracts will be required to </w:t>
      </w:r>
      <w:r w:rsidR="00E503E6">
        <w:t>complete</w:t>
      </w:r>
      <w:r w:rsidRPr="00335DC0">
        <w:t xml:space="preserve"> a new survey should their contracts provide services at a new location</w:t>
      </w:r>
      <w:r w:rsidR="00E503E6">
        <w:t xml:space="preserve"> or if any location where services are being rendered do not have an ADA survey on file</w:t>
      </w:r>
      <w:r w:rsidRPr="00335DC0">
        <w:t>.</w:t>
      </w:r>
    </w:p>
    <w:p w14:paraId="0E0E9EF3" w14:textId="77777777" w:rsidR="003553DB" w:rsidRPr="00335DC0" w:rsidRDefault="003553DB" w:rsidP="00583092"/>
    <w:p w14:paraId="61F47EA8" w14:textId="7C0818E6" w:rsidR="003553DB" w:rsidRPr="00335DC0" w:rsidRDefault="003553DB" w:rsidP="00583092">
      <w:pPr>
        <w:rPr>
          <w:color w:val="000000"/>
        </w:rPr>
      </w:pPr>
      <w:r w:rsidRPr="00335DC0">
        <w:rPr>
          <w:color w:val="000000"/>
          <w:u w:val="single"/>
        </w:rPr>
        <w:t>Individuals With Disabilities</w:t>
      </w:r>
      <w:r w:rsidRPr="00335DC0">
        <w:rPr>
          <w:color w:val="000000"/>
        </w:rPr>
        <w:t xml:space="preserve">.  An individual with a disability is a person who has a permanent or temporary physical or mental impairment that substantially limits one or more "major life activities," has a record of such impairments, or is regarded by others as having such impairment.  Examples of physical or mental impairments include, but are not limited to orthopedic, visual, speech and hearing impairments; cerebral palsy, epilepsy, muscular dystrophy, multiple sclerosis, cancer, heart disease, diabetes, emotional illness, specific learning disabilities, HIV disease, tuberculosis, drug addiction, and alcoholism.  </w:t>
      </w:r>
    </w:p>
    <w:p w14:paraId="7BABDD93" w14:textId="77777777" w:rsidR="003553DB" w:rsidRPr="00335DC0" w:rsidRDefault="003553DB" w:rsidP="00583092">
      <w:pPr>
        <w:rPr>
          <w:color w:val="000000"/>
        </w:rPr>
      </w:pPr>
    </w:p>
    <w:p w14:paraId="0B605BD9" w14:textId="77777777" w:rsidR="003553DB" w:rsidRPr="00335DC0" w:rsidRDefault="003553DB" w:rsidP="00583092">
      <w:r w:rsidRPr="00335DC0">
        <w:rPr>
          <w:color w:val="000000"/>
          <w:u w:val="single"/>
        </w:rPr>
        <w:t>Major Life Activities:</w:t>
      </w:r>
      <w:r w:rsidRPr="00335DC0">
        <w:rPr>
          <w:color w:val="000000"/>
        </w:rPr>
        <w:t xml:space="preserve"> include functions such as caring for oneself, performing manual tasks, seeing, hearing, speaking, breathing, learning, and working.  Individuals who are currently engaged in the illegal use of drugs are not protected by the ADA when an action is taken on the basis of current illegal drug use.  </w:t>
      </w:r>
    </w:p>
    <w:p w14:paraId="0AB048A9" w14:textId="77777777" w:rsidR="003553DB" w:rsidRPr="00335DC0" w:rsidRDefault="003553DB" w:rsidP="00583092"/>
    <w:p w14:paraId="27E0310C" w14:textId="2CBA56A0" w:rsidR="003553DB" w:rsidRPr="00F862A2" w:rsidRDefault="00A15305" w:rsidP="00583092">
      <w:pPr>
        <w:pStyle w:val="Heading3"/>
        <w:spacing w:before="0" w:after="0"/>
        <w:rPr>
          <w:rFonts w:ascii="Times New Roman" w:hAnsi="Times New Roman"/>
          <w:b/>
          <w:bCs/>
          <w:szCs w:val="24"/>
          <w:u w:val="single"/>
        </w:rPr>
      </w:pPr>
      <w:r>
        <w:rPr>
          <w:rFonts w:ascii="Times New Roman" w:hAnsi="Times New Roman"/>
          <w:b/>
          <w:bCs/>
          <w:szCs w:val="24"/>
          <w:u w:val="single"/>
        </w:rPr>
        <w:t>G</w:t>
      </w:r>
      <w:r w:rsidR="00C511BA" w:rsidRPr="00F862A2">
        <w:rPr>
          <w:rFonts w:ascii="Times New Roman" w:hAnsi="Times New Roman"/>
          <w:b/>
          <w:bCs/>
          <w:szCs w:val="24"/>
          <w:u w:val="single"/>
        </w:rPr>
        <w:t>. ENVIRONMENTAL REVIEW</w:t>
      </w:r>
    </w:p>
    <w:p w14:paraId="5EC64EEE" w14:textId="77777777" w:rsidR="003553DB" w:rsidRPr="0099428C" w:rsidRDefault="003553DB" w:rsidP="00583092">
      <w:pPr>
        <w:pStyle w:val="TOC1"/>
        <w:rPr>
          <w:b w:val="0"/>
          <w:sz w:val="24"/>
          <w:szCs w:val="24"/>
        </w:rPr>
      </w:pPr>
      <w:bookmarkStart w:id="4" w:name="_Toc135119074"/>
      <w:r w:rsidRPr="0099428C">
        <w:rPr>
          <w:b w:val="0"/>
          <w:sz w:val="24"/>
          <w:szCs w:val="24"/>
        </w:rPr>
        <w:t>NATIONAL ENVIRONMENTAL POLICY ACT</w:t>
      </w:r>
      <w:bookmarkEnd w:id="4"/>
      <w:r w:rsidRPr="0099428C">
        <w:rPr>
          <w:b w:val="0"/>
          <w:sz w:val="24"/>
          <w:szCs w:val="24"/>
        </w:rPr>
        <w:t xml:space="preserve"> </w:t>
      </w:r>
    </w:p>
    <w:p w14:paraId="78CEFBCA" w14:textId="139DEE00" w:rsidR="003553DB" w:rsidRPr="00335DC0" w:rsidRDefault="00610DC7" w:rsidP="00583092">
      <w:r>
        <w:t>All f</w:t>
      </w:r>
      <w:r w:rsidR="003553DB" w:rsidRPr="00335DC0">
        <w:t xml:space="preserve">ederally funded projects administered by </w:t>
      </w:r>
      <w:r w:rsidR="00AE20E9" w:rsidRPr="00335DC0">
        <w:t>MOHCD</w:t>
      </w:r>
      <w:r w:rsidR="003553DB" w:rsidRPr="00335DC0">
        <w:t xml:space="preserve"> must be reviewed for their </w:t>
      </w:r>
      <w:r>
        <w:t>level of</w:t>
      </w:r>
      <w:r w:rsidRPr="00335DC0">
        <w:t xml:space="preserve"> </w:t>
      </w:r>
      <w:r w:rsidR="003553DB" w:rsidRPr="00335DC0">
        <w:t xml:space="preserve">impact to the environment.  </w:t>
      </w:r>
      <w:r>
        <w:t>Environmental</w:t>
      </w:r>
      <w:r w:rsidRPr="00335DC0">
        <w:t xml:space="preserve"> </w:t>
      </w:r>
      <w:r w:rsidR="003553DB" w:rsidRPr="00335DC0">
        <w:t xml:space="preserve">review is conducted pursuant to HUD regulations (24 CFR Part 58); which implement the environmental review requirements of the National Environmental Policy Act (NEPA). </w:t>
      </w:r>
      <w:r>
        <w:t>T</w:t>
      </w:r>
      <w:r w:rsidR="003553DB" w:rsidRPr="00335DC0">
        <w:t xml:space="preserve">he level of review will vary </w:t>
      </w:r>
      <w:r>
        <w:t>for each</w:t>
      </w:r>
      <w:r w:rsidRPr="00335DC0">
        <w:t xml:space="preserve"> </w:t>
      </w:r>
      <w:r w:rsidR="003553DB" w:rsidRPr="00335DC0">
        <w:t xml:space="preserve">project </w:t>
      </w:r>
      <w:r>
        <w:t>given</w:t>
      </w:r>
      <w:r w:rsidR="003553DB" w:rsidRPr="00335DC0">
        <w:t xml:space="preserve"> the nature and extent of the project </w:t>
      </w:r>
      <w:r>
        <w:t xml:space="preserve">scope </w:t>
      </w:r>
      <w:r w:rsidR="003553DB" w:rsidRPr="00335DC0">
        <w:t xml:space="preserve">and site qualities.  </w:t>
      </w:r>
    </w:p>
    <w:p w14:paraId="379E73D6" w14:textId="77777777" w:rsidR="003553DB" w:rsidRPr="00335DC0" w:rsidRDefault="003553DB" w:rsidP="00583092"/>
    <w:p w14:paraId="54CEB188" w14:textId="1E657386" w:rsidR="003553DB" w:rsidRPr="00335DC0" w:rsidRDefault="00BD3D72" w:rsidP="00583092">
      <w:r w:rsidRPr="00335DC0">
        <w:t>MOHCD</w:t>
      </w:r>
      <w:r w:rsidR="003553DB" w:rsidRPr="00335DC0">
        <w:t xml:space="preserve"> will determine the level of environmental review individual projects </w:t>
      </w:r>
      <w:r w:rsidR="00610DC7">
        <w:t>will be subject to.</w:t>
      </w:r>
      <w:r w:rsidR="003553DB" w:rsidRPr="00335DC0">
        <w:t xml:space="preserve">  The </w:t>
      </w:r>
      <w:r w:rsidR="00AE20E9" w:rsidRPr="00335DC0">
        <w:t>MOHCD</w:t>
      </w:r>
      <w:r w:rsidR="003553DB" w:rsidRPr="00335DC0">
        <w:t xml:space="preserve"> Grant Coordinator will inform grantees of what documentation the organization needs to submit for the review.  </w:t>
      </w:r>
      <w:r w:rsidR="003553DB" w:rsidRPr="00335DC0">
        <w:rPr>
          <w:b/>
          <w:bCs/>
        </w:rPr>
        <w:t xml:space="preserve">Grantees may not commit </w:t>
      </w:r>
      <w:r w:rsidR="00082361">
        <w:rPr>
          <w:b/>
          <w:bCs/>
        </w:rPr>
        <w:t xml:space="preserve">and expend </w:t>
      </w:r>
      <w:r w:rsidR="00AE20E9" w:rsidRPr="00335DC0">
        <w:rPr>
          <w:b/>
          <w:bCs/>
        </w:rPr>
        <w:t>MOHCD</w:t>
      </w:r>
      <w:r w:rsidR="003553DB" w:rsidRPr="00335DC0">
        <w:rPr>
          <w:b/>
          <w:bCs/>
        </w:rPr>
        <w:t xml:space="preserve"> funds until the review process is completed</w:t>
      </w:r>
      <w:r w:rsidR="00082361">
        <w:rPr>
          <w:b/>
          <w:bCs/>
        </w:rPr>
        <w:t xml:space="preserve"> and a grant agreement is executed</w:t>
      </w:r>
      <w:r w:rsidR="003553DB" w:rsidRPr="00335DC0">
        <w:rPr>
          <w:b/>
          <w:bCs/>
        </w:rPr>
        <w:t>.</w:t>
      </w:r>
      <w:r w:rsidR="003553DB" w:rsidRPr="00335DC0">
        <w:t xml:space="preserve">  Public Service awards </w:t>
      </w:r>
      <w:r w:rsidR="00082361">
        <w:t>must receive</w:t>
      </w:r>
      <w:r w:rsidR="003553DB" w:rsidRPr="00335DC0">
        <w:t xml:space="preserve"> environmental clearance prior to </w:t>
      </w:r>
      <w:r w:rsidR="00082361">
        <w:t xml:space="preserve">the </w:t>
      </w:r>
      <w:r w:rsidR="003553DB" w:rsidRPr="00335DC0">
        <w:t xml:space="preserve">execution of the Grant Agreement.   </w:t>
      </w:r>
    </w:p>
    <w:p w14:paraId="187D919D" w14:textId="77777777" w:rsidR="003553DB" w:rsidRPr="00335DC0" w:rsidRDefault="003553DB" w:rsidP="00583092"/>
    <w:p w14:paraId="2447FA65" w14:textId="450CAD92" w:rsidR="003553DB" w:rsidRPr="00F862A2" w:rsidRDefault="00A15305" w:rsidP="00583092">
      <w:pPr>
        <w:rPr>
          <w:b/>
          <w:bCs/>
          <w:u w:val="single"/>
        </w:rPr>
      </w:pPr>
      <w:r>
        <w:rPr>
          <w:b/>
          <w:bCs/>
          <w:u w:val="single"/>
        </w:rPr>
        <w:t>H</w:t>
      </w:r>
      <w:r w:rsidR="00C511BA" w:rsidRPr="00F862A2">
        <w:rPr>
          <w:b/>
          <w:bCs/>
          <w:u w:val="single"/>
        </w:rPr>
        <w:t>.  CARE TO CHILDREN</w:t>
      </w:r>
    </w:p>
    <w:p w14:paraId="785DBDAB" w14:textId="77777777" w:rsidR="003553DB" w:rsidRPr="00335DC0" w:rsidRDefault="003553DB" w:rsidP="00583092">
      <w:pPr>
        <w:rPr>
          <w:color w:val="FF00FF"/>
          <w:u w:val="single"/>
        </w:rPr>
      </w:pPr>
    </w:p>
    <w:p w14:paraId="3F42462D" w14:textId="77777777" w:rsidR="00516708" w:rsidRPr="00335DC0" w:rsidRDefault="003553DB" w:rsidP="00583092">
      <w:r w:rsidRPr="00335DC0">
        <w:lastRenderedPageBreak/>
        <w:t>If the organization provides care to minor children, they must verify every employee's suitability to have contact with children.  The verification process must adhere to the regulations of the California State Department of Social Services, Community Care Licensing Manual, Section 80019, Criminal Record Clearance.</w:t>
      </w:r>
    </w:p>
    <w:p w14:paraId="6C8B0C54" w14:textId="77777777" w:rsidR="00516708" w:rsidRPr="00335DC0" w:rsidRDefault="00516708" w:rsidP="00583092"/>
    <w:p w14:paraId="2D64E682" w14:textId="7A35EB31" w:rsidR="00516708" w:rsidRPr="00F862A2" w:rsidRDefault="00A15305" w:rsidP="00583092">
      <w:pPr>
        <w:pStyle w:val="Default"/>
        <w:rPr>
          <w:rFonts w:ascii="Times New Roman" w:hAnsi="Times New Roman" w:cs="Times New Roman"/>
          <w:b/>
          <w:bCs/>
          <w:u w:val="single"/>
        </w:rPr>
      </w:pPr>
      <w:r>
        <w:rPr>
          <w:rFonts w:ascii="Times New Roman" w:hAnsi="Times New Roman" w:cs="Times New Roman"/>
          <w:b/>
          <w:bCs/>
          <w:u w:val="single"/>
        </w:rPr>
        <w:t>I</w:t>
      </w:r>
      <w:r w:rsidR="00C511BA" w:rsidRPr="00F862A2">
        <w:rPr>
          <w:rFonts w:ascii="Times New Roman" w:hAnsi="Times New Roman" w:cs="Times New Roman"/>
          <w:b/>
          <w:bCs/>
          <w:u w:val="single"/>
        </w:rPr>
        <w:t xml:space="preserve">.  </w:t>
      </w:r>
      <w:r w:rsidR="00C511BA" w:rsidRPr="00F862A2">
        <w:rPr>
          <w:rFonts w:ascii="Times New Roman" w:hAnsi="Times New Roman" w:cs="Times New Roman"/>
          <w:u w:val="single"/>
        </w:rPr>
        <w:t xml:space="preserve"> </w:t>
      </w:r>
      <w:r w:rsidR="00C511BA" w:rsidRPr="00F862A2">
        <w:rPr>
          <w:rFonts w:ascii="Times New Roman" w:hAnsi="Times New Roman" w:cs="Times New Roman"/>
          <w:b/>
          <w:bCs/>
          <w:u w:val="single"/>
        </w:rPr>
        <w:t>FORM SFEC-126: NOTIFICATION OF CONTRACT APPROVAL</w:t>
      </w:r>
    </w:p>
    <w:p w14:paraId="12EBC399" w14:textId="77777777" w:rsidR="00516708" w:rsidRPr="00335DC0" w:rsidRDefault="00516708" w:rsidP="00583092">
      <w:pPr>
        <w:autoSpaceDE w:val="0"/>
        <w:autoSpaceDN w:val="0"/>
        <w:adjustRightInd w:val="0"/>
        <w:rPr>
          <w:color w:val="000000"/>
        </w:rPr>
      </w:pPr>
    </w:p>
    <w:p w14:paraId="79BB8B29" w14:textId="74F31023" w:rsidR="00516708" w:rsidRPr="00335DC0" w:rsidRDefault="00516708" w:rsidP="00583092">
      <w:pPr>
        <w:autoSpaceDE w:val="0"/>
        <w:autoSpaceDN w:val="0"/>
        <w:adjustRightInd w:val="0"/>
        <w:rPr>
          <w:color w:val="000000"/>
        </w:rPr>
      </w:pPr>
      <w:r w:rsidRPr="00335DC0">
        <w:rPr>
          <w:color w:val="000000"/>
        </w:rPr>
        <w:t>Each City elective officer who approves a contract that has a value of $</w:t>
      </w:r>
      <w:r w:rsidR="002D48A8">
        <w:rPr>
          <w:color w:val="000000"/>
        </w:rPr>
        <w:t>100</w:t>
      </w:r>
      <w:r w:rsidRPr="00335DC0">
        <w:rPr>
          <w:color w:val="000000"/>
        </w:rPr>
        <w:t xml:space="preserve">,000 or more in a fiscal year must file </w:t>
      </w:r>
      <w:r w:rsidR="004072FB" w:rsidRPr="00335DC0">
        <w:rPr>
          <w:color w:val="000000"/>
        </w:rPr>
        <w:t xml:space="preserve">a </w:t>
      </w:r>
      <w:r w:rsidRPr="00335DC0">
        <w:rPr>
          <w:color w:val="000000"/>
        </w:rPr>
        <w:t xml:space="preserve">form </w:t>
      </w:r>
      <w:r w:rsidR="004072FB" w:rsidRPr="00335DC0">
        <w:rPr>
          <w:color w:val="000000"/>
        </w:rPr>
        <w:t xml:space="preserve">SFEC-126 </w:t>
      </w:r>
      <w:r w:rsidRPr="00335DC0">
        <w:rPr>
          <w:color w:val="000000"/>
        </w:rPr>
        <w:t xml:space="preserve">with the Ethics Commission within five business days of approval. This filing requirement applies if the contract is approved by: the City elective officer, any board on which the City elective officer serves, or the board of any state agency on which an appointee of the City elective officer serves, as described in (d) below. </w:t>
      </w:r>
    </w:p>
    <w:p w14:paraId="2AD6A825" w14:textId="77777777" w:rsidR="00516708" w:rsidRPr="00335DC0" w:rsidRDefault="00516708" w:rsidP="00583092">
      <w:pPr>
        <w:autoSpaceDE w:val="0"/>
        <w:autoSpaceDN w:val="0"/>
        <w:adjustRightInd w:val="0"/>
        <w:rPr>
          <w:color w:val="000000"/>
        </w:rPr>
      </w:pPr>
    </w:p>
    <w:p w14:paraId="07FD5DD9" w14:textId="77777777" w:rsidR="00516708" w:rsidRPr="00335DC0" w:rsidRDefault="00516708" w:rsidP="00583092">
      <w:pPr>
        <w:autoSpaceDE w:val="0"/>
        <w:autoSpaceDN w:val="0"/>
        <w:adjustRightInd w:val="0"/>
        <w:rPr>
          <w:color w:val="000000"/>
        </w:rPr>
      </w:pPr>
      <w:r w:rsidRPr="00335DC0">
        <w:rPr>
          <w:color w:val="000000"/>
        </w:rPr>
        <w:t xml:space="preserve">The City elective officer who approved the contract, whose board approved the contract, or who has an appointee on the board of a state agency that approved the contract, must file this form. However, the City elective officer is not required to file this form if the clerk or secretary of the board on which the officer or appointee serves has filed this form on behalf of the board. </w:t>
      </w:r>
    </w:p>
    <w:p w14:paraId="1E060F79" w14:textId="77777777" w:rsidR="00516708" w:rsidRPr="00335DC0" w:rsidRDefault="00516708" w:rsidP="00583092">
      <w:pPr>
        <w:autoSpaceDE w:val="0"/>
        <w:autoSpaceDN w:val="0"/>
        <w:adjustRightInd w:val="0"/>
        <w:rPr>
          <w:color w:val="000000"/>
        </w:rPr>
      </w:pPr>
    </w:p>
    <w:p w14:paraId="698C4CED" w14:textId="77777777" w:rsidR="00516708" w:rsidRPr="00335DC0" w:rsidRDefault="00516708" w:rsidP="00583092">
      <w:pPr>
        <w:autoSpaceDE w:val="0"/>
        <w:autoSpaceDN w:val="0"/>
        <w:adjustRightInd w:val="0"/>
        <w:rPr>
          <w:color w:val="000000"/>
        </w:rPr>
      </w:pPr>
      <w:r w:rsidRPr="00335DC0">
        <w:rPr>
          <w:color w:val="000000"/>
        </w:rPr>
        <w:t xml:space="preserve">A City Elective Officer is any of the following: Mayor, member of the Board of Supervisors, City Attorney, District Attorney, Treasurer, Sheriff, Assessor, Public Defender, member of the Board of Education of the San Francisco Unified School District, or member of the Governing Board of the San Francisco Community College District. </w:t>
      </w:r>
    </w:p>
    <w:p w14:paraId="4670143D" w14:textId="77777777" w:rsidR="00516708" w:rsidRPr="00335DC0" w:rsidRDefault="00516708" w:rsidP="00583092">
      <w:pPr>
        <w:autoSpaceDE w:val="0"/>
        <w:autoSpaceDN w:val="0"/>
        <w:adjustRightInd w:val="0"/>
        <w:rPr>
          <w:b/>
          <w:bCs/>
          <w:i/>
          <w:iCs/>
          <w:color w:val="000000"/>
        </w:rPr>
      </w:pPr>
    </w:p>
    <w:p w14:paraId="54C53077" w14:textId="77777777" w:rsidR="00516708" w:rsidRPr="00335DC0" w:rsidRDefault="00516708" w:rsidP="00583092">
      <w:pPr>
        <w:autoSpaceDE w:val="0"/>
        <w:autoSpaceDN w:val="0"/>
        <w:adjustRightInd w:val="0"/>
        <w:rPr>
          <w:color w:val="000000"/>
        </w:rPr>
      </w:pPr>
      <w:r w:rsidRPr="00335DC0">
        <w:rPr>
          <w:color w:val="000000"/>
        </w:rPr>
        <w:t xml:space="preserve">For the purposes of this report, the board of a state agency on which an appointee of a City elective officer serves is limited to the following agencies: Health Authority, Housing Authority Commission, Industrial Development Authority Board, Parking Authority, Redevelopment Agency Commission, Relocation Appeals Board, Treasure Island Development Authority, and Local Workforce Investment Board. </w:t>
      </w:r>
    </w:p>
    <w:p w14:paraId="2BE129F0" w14:textId="77777777" w:rsidR="00516708" w:rsidRPr="00335DC0" w:rsidRDefault="00516708" w:rsidP="00583092">
      <w:pPr>
        <w:autoSpaceDE w:val="0"/>
        <w:autoSpaceDN w:val="0"/>
        <w:adjustRightInd w:val="0"/>
        <w:rPr>
          <w:color w:val="000000"/>
        </w:rPr>
      </w:pPr>
    </w:p>
    <w:p w14:paraId="78129475" w14:textId="5C86954A" w:rsidR="00516708" w:rsidRPr="00335DC0" w:rsidRDefault="00516708" w:rsidP="00583092">
      <w:pPr>
        <w:autoSpaceDE w:val="0"/>
        <w:autoSpaceDN w:val="0"/>
        <w:adjustRightInd w:val="0"/>
        <w:rPr>
          <w:color w:val="000000"/>
        </w:rPr>
      </w:pPr>
      <w:r w:rsidRPr="00335DC0">
        <w:rPr>
          <w:color w:val="000000"/>
        </w:rPr>
        <w:t>This form is required if the contract has a total anticipated or actual value of $</w:t>
      </w:r>
      <w:r w:rsidR="002D48A8">
        <w:rPr>
          <w:color w:val="000000"/>
        </w:rPr>
        <w:t>100</w:t>
      </w:r>
      <w:r w:rsidRPr="00335DC0">
        <w:rPr>
          <w:color w:val="000000"/>
        </w:rPr>
        <w:t>,000 or more, or a combination or series of such contracts, amendments or modifications approved by the same City elective officer or board has a value of $</w:t>
      </w:r>
      <w:r w:rsidR="002D48A8">
        <w:rPr>
          <w:color w:val="000000"/>
        </w:rPr>
        <w:t>100</w:t>
      </w:r>
      <w:r w:rsidRPr="00335DC0">
        <w:rPr>
          <w:color w:val="000000"/>
        </w:rPr>
        <w:t xml:space="preserve">,000 or more in a fiscal year. </w:t>
      </w:r>
    </w:p>
    <w:p w14:paraId="7BD63626" w14:textId="77777777" w:rsidR="00516708" w:rsidRPr="00335DC0" w:rsidRDefault="00516708" w:rsidP="00583092">
      <w:pPr>
        <w:rPr>
          <w:color w:val="000000"/>
        </w:rPr>
      </w:pPr>
    </w:p>
    <w:p w14:paraId="63E85480" w14:textId="77777777" w:rsidR="00516708" w:rsidRPr="00335DC0" w:rsidRDefault="00516708" w:rsidP="00583092">
      <w:r w:rsidRPr="00335DC0">
        <w:rPr>
          <w:color w:val="000000"/>
        </w:rPr>
        <w:t xml:space="preserve">For a period of six months after the contract is approved, neither the City elective officer nor any political committee that he or she controls may solicit or accept a campaign contribution from the following persons or entities: the party whose contract was approved; the party’s board of directors; the party's chairperson, chief executive officer, chief financial officer, or chief operating officer; any person with an ownership interest of more than 20 percent in the party; any subcontractor listed in the bid or contract; or any political committee sponsored or controlled by the contracting party. Nor may any of these persons make a campaign contribution to the City elective officer, a candidate for the office held by such officer, or a political committee controlled by such officer or candidate. </w:t>
      </w:r>
      <w:r w:rsidRPr="00335DC0">
        <w:t>If the organization provides care to minor children, they must verify every employee's suitability to have contact with children.  The verification process must adhere to the regulations of the California State Department of Social Services, Community Care Licensing Manual, Section 80019, Criminal Record Clearance.</w:t>
      </w:r>
    </w:p>
    <w:p w14:paraId="62FEA6B6" w14:textId="77777777" w:rsidR="00B74310" w:rsidRPr="00335DC0" w:rsidRDefault="00B74310" w:rsidP="00583092"/>
    <w:p w14:paraId="060791B3" w14:textId="77777777" w:rsidR="003553DB" w:rsidRPr="00F862A2" w:rsidRDefault="003553DB" w:rsidP="00583092">
      <w:pPr>
        <w:rPr>
          <w:b/>
          <w:bCs/>
          <w:u w:val="single"/>
        </w:rPr>
      </w:pPr>
      <w:r w:rsidRPr="00335DC0">
        <w:br w:type="page"/>
      </w:r>
      <w:r w:rsidR="00C511BA" w:rsidRPr="00F862A2">
        <w:rPr>
          <w:b/>
          <w:bCs/>
          <w:u w:val="single"/>
        </w:rPr>
        <w:lastRenderedPageBreak/>
        <w:t>APPENDIX 1:  RESOURCES</w:t>
      </w:r>
    </w:p>
    <w:p w14:paraId="6B6D38AC" w14:textId="77777777" w:rsidR="003553DB" w:rsidRPr="00335DC0" w:rsidRDefault="003553DB" w:rsidP="00583092"/>
    <w:p w14:paraId="5824049C" w14:textId="77777777" w:rsidR="003553DB" w:rsidRDefault="003553DB" w:rsidP="00583092">
      <w:r w:rsidRPr="00335DC0">
        <w:t>Information referenced in this manual can be found on the following web sites:</w:t>
      </w:r>
    </w:p>
    <w:p w14:paraId="1C9A1E30" w14:textId="77777777" w:rsidR="00405A17" w:rsidRPr="00335DC0" w:rsidRDefault="00405A17" w:rsidP="00583092"/>
    <w:p w14:paraId="7E9242A7" w14:textId="77777777" w:rsidR="00564E3C" w:rsidRDefault="0056617E" w:rsidP="00583092">
      <w:hyperlink r:id="rId25" w:history="1">
        <w:r w:rsidR="00564E3C">
          <w:rPr>
            <w:rStyle w:val="Hyperlink"/>
          </w:rPr>
          <w:t>https://sf.gov/departments/mayors-office-housing-and-community-development</w:t>
        </w:r>
      </w:hyperlink>
      <w:r w:rsidR="00564E3C" w:rsidDel="00564E3C">
        <w:t xml:space="preserve"> </w:t>
      </w:r>
    </w:p>
    <w:p w14:paraId="5F84D4A7" w14:textId="21601855" w:rsidR="00405A17" w:rsidRDefault="00405A17" w:rsidP="00583092">
      <w:r>
        <w:t>Mayor’s Office of Housing and Community Development Homepage</w:t>
      </w:r>
    </w:p>
    <w:p w14:paraId="294F7BB5" w14:textId="77777777" w:rsidR="00405A17" w:rsidRDefault="00405A17" w:rsidP="00583092"/>
    <w:p w14:paraId="48C48D2D" w14:textId="6EED37CA" w:rsidR="00405A17" w:rsidRDefault="0056617E" w:rsidP="00583092">
      <w:hyperlink r:id="rId26" w:history="1">
        <w:r w:rsidR="00405A17" w:rsidRPr="00D308E9">
          <w:rPr>
            <w:rStyle w:val="Hyperlink"/>
          </w:rPr>
          <w:t>http://sfmohcd.org/community-development-forms-and-documents</w:t>
        </w:r>
      </w:hyperlink>
    </w:p>
    <w:p w14:paraId="3FB9D59D" w14:textId="1D823353" w:rsidR="00405A17" w:rsidRDefault="00405A17" w:rsidP="00583092">
      <w:r>
        <w:t>Community Development Forms and Documents</w:t>
      </w:r>
    </w:p>
    <w:p w14:paraId="227382FC" w14:textId="4E481510" w:rsidR="003553DB" w:rsidRPr="00335DC0" w:rsidRDefault="003553DB" w:rsidP="00583092">
      <w:r w:rsidRPr="00335DC0">
        <w:tab/>
      </w:r>
      <w:r w:rsidRPr="00335DC0">
        <w:tab/>
      </w:r>
    </w:p>
    <w:p w14:paraId="4474B884" w14:textId="77777777" w:rsidR="003553DB" w:rsidRPr="00335DC0" w:rsidRDefault="0056617E" w:rsidP="00583092">
      <w:pPr>
        <w:rPr>
          <w:u w:val="single"/>
        </w:rPr>
      </w:pPr>
      <w:hyperlink r:id="rId27" w:history="1">
        <w:r w:rsidR="003553DB" w:rsidRPr="00335DC0">
          <w:rPr>
            <w:rStyle w:val="Hyperlink"/>
          </w:rPr>
          <w:t>www.sfgov.org/sfhumanrights</w:t>
        </w:r>
      </w:hyperlink>
    </w:p>
    <w:p w14:paraId="4CD777EB" w14:textId="77777777" w:rsidR="003553DB" w:rsidRPr="00335DC0" w:rsidRDefault="003553DB" w:rsidP="00583092">
      <w:r w:rsidRPr="00335DC0">
        <w:t>S.F. Administrative Code Chapter 12b</w:t>
      </w:r>
    </w:p>
    <w:p w14:paraId="012055A8" w14:textId="77777777" w:rsidR="003553DB" w:rsidRPr="00335DC0" w:rsidRDefault="003553DB" w:rsidP="00583092">
      <w:r w:rsidRPr="00335DC0">
        <w:t xml:space="preserve">Minority/Women/Local Enterprise Business Directory </w:t>
      </w:r>
    </w:p>
    <w:p w14:paraId="5082B4FE" w14:textId="77777777" w:rsidR="003553DB" w:rsidRPr="00335DC0" w:rsidRDefault="003553DB" w:rsidP="00583092"/>
    <w:p w14:paraId="41665F7F" w14:textId="77777777" w:rsidR="003553DB" w:rsidRPr="00335DC0" w:rsidRDefault="0056617E" w:rsidP="00583092">
      <w:pPr>
        <w:rPr>
          <w:u w:val="single"/>
        </w:rPr>
      </w:pPr>
      <w:hyperlink r:id="rId28" w:history="1">
        <w:r w:rsidR="003553DB" w:rsidRPr="00335DC0">
          <w:rPr>
            <w:rStyle w:val="Hyperlink"/>
          </w:rPr>
          <w:t>www.whitehouse.gov/omb</w:t>
        </w:r>
      </w:hyperlink>
    </w:p>
    <w:p w14:paraId="0F6A6DAC" w14:textId="77777777" w:rsidR="0099428C" w:rsidRDefault="0099428C" w:rsidP="0099428C">
      <w:pPr>
        <w:rPr>
          <w:i/>
        </w:rPr>
      </w:pPr>
      <w:r>
        <w:t xml:space="preserve">OMB Guidance: </w:t>
      </w:r>
      <w:r>
        <w:rPr>
          <w:i/>
        </w:rPr>
        <w:t xml:space="preserve">Administrative Requirements, Cost Principles, and Audit Requirements for Federal Awards (Super Circular) </w:t>
      </w:r>
    </w:p>
    <w:p w14:paraId="00FE0D7F" w14:textId="77777777" w:rsidR="003553DB" w:rsidRPr="00335DC0" w:rsidRDefault="003553DB" w:rsidP="00583092"/>
    <w:p w14:paraId="11F2F71C" w14:textId="77777777" w:rsidR="003553DB" w:rsidRPr="00335DC0" w:rsidRDefault="003553DB" w:rsidP="00583092">
      <w:pPr>
        <w:keepLines/>
        <w:tabs>
          <w:tab w:val="left" w:pos="270"/>
          <w:tab w:val="left" w:pos="540"/>
        </w:tabs>
        <w:ind w:right="-86"/>
      </w:pPr>
    </w:p>
    <w:p w14:paraId="30FE95BF" w14:textId="77777777" w:rsidR="003553DB" w:rsidRPr="00335DC0" w:rsidRDefault="003553DB" w:rsidP="00583092">
      <w:pPr>
        <w:keepLines/>
        <w:tabs>
          <w:tab w:val="left" w:pos="270"/>
          <w:tab w:val="left" w:pos="540"/>
        </w:tabs>
        <w:ind w:right="-86"/>
      </w:pPr>
    </w:p>
    <w:p w14:paraId="31C394CB" w14:textId="77777777" w:rsidR="003553DB" w:rsidRPr="00335DC0" w:rsidRDefault="003553DB" w:rsidP="00583092">
      <w:pPr>
        <w:pStyle w:val="Header"/>
        <w:rPr>
          <w:sz w:val="24"/>
          <w:szCs w:val="24"/>
        </w:rPr>
      </w:pPr>
    </w:p>
    <w:p w14:paraId="37300E1E" w14:textId="77777777" w:rsidR="003553DB" w:rsidRPr="00335DC0" w:rsidRDefault="003553DB" w:rsidP="00583092">
      <w:pPr>
        <w:pStyle w:val="Header"/>
        <w:rPr>
          <w:sz w:val="24"/>
          <w:szCs w:val="24"/>
        </w:rPr>
      </w:pPr>
    </w:p>
    <w:p w14:paraId="499A7957" w14:textId="77777777" w:rsidR="003553DB" w:rsidRPr="00335DC0" w:rsidRDefault="003553DB" w:rsidP="00583092"/>
    <w:sectPr w:rsidR="003553DB" w:rsidRPr="00335DC0" w:rsidSect="00733BD3">
      <w:footerReference w:type="default" r:id="rId29"/>
      <w:pgSz w:w="12240" w:h="15840" w:code="1"/>
      <w:pgMar w:top="1440" w:right="1440" w:bottom="1440" w:left="1440" w:header="547" w:footer="36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71617AE" w14:textId="77777777" w:rsidR="0071532E" w:rsidRDefault="0071532E">
      <w:r>
        <w:separator/>
      </w:r>
    </w:p>
  </w:endnote>
  <w:endnote w:type="continuationSeparator" w:id="0">
    <w:p w14:paraId="3D59CB7E" w14:textId="77777777" w:rsidR="0071532E" w:rsidRDefault="00715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F43D8C" w14:textId="77777777" w:rsidR="00D9288C" w:rsidRDefault="00D9288C" w:rsidP="00733BD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7E9F767" w14:textId="77777777" w:rsidR="00D9288C" w:rsidRDefault="00D928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4C269A" w14:textId="77777777" w:rsidR="00D9288C" w:rsidRDefault="00D9288C">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88C7D7" w14:textId="77777777" w:rsidR="00D9288C" w:rsidRDefault="00D9288C">
    <w:pPr>
      <w:pStyle w:val="Footer"/>
      <w:rPr>
        <w:sz w:val="18"/>
      </w:rPr>
    </w:pPr>
    <w:r>
      <w:rPr>
        <w:sz w:val="18"/>
      </w:rPr>
      <w:tab/>
    </w:r>
    <w:r>
      <w:rPr>
        <w:sz w:val="18"/>
      </w:rPr>
      <w:tab/>
    </w:r>
    <w:r>
      <w:rPr>
        <w:sz w:val="18"/>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FE31C0" w14:textId="39C01709" w:rsidR="00D9288C" w:rsidRDefault="00D9288C" w:rsidP="00733BD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20</w:t>
    </w:r>
    <w:r>
      <w:rPr>
        <w:rStyle w:val="PageNumber"/>
      </w:rPr>
      <w:fldChar w:fldCharType="end"/>
    </w:r>
  </w:p>
  <w:p w14:paraId="78C77C8C" w14:textId="77777777" w:rsidR="00D9288C" w:rsidRDefault="00D9288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D0E3742" w14:textId="77777777" w:rsidR="0071532E" w:rsidRDefault="0071532E">
      <w:r>
        <w:separator/>
      </w:r>
    </w:p>
  </w:footnote>
  <w:footnote w:type="continuationSeparator" w:id="0">
    <w:p w14:paraId="6B942C56" w14:textId="77777777" w:rsidR="0071532E" w:rsidRDefault="007153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35DDC2" w14:textId="77777777" w:rsidR="00D9288C" w:rsidRDefault="00D9288C">
    <w:pPr>
      <w:pStyle w:val="Header"/>
      <w:jc w:val="center"/>
      <w:rPr>
        <w:rStyle w:val="PageNumber"/>
        <w:sz w:val="18"/>
      </w:rPr>
    </w:pPr>
    <w:r>
      <w:rPr>
        <w:sz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142A89"/>
    <w:multiLevelType w:val="hybridMultilevel"/>
    <w:tmpl w:val="F202D6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0E61E5D"/>
    <w:multiLevelType w:val="hybridMultilevel"/>
    <w:tmpl w:val="0546C3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3766CD"/>
    <w:multiLevelType w:val="hybridMultilevel"/>
    <w:tmpl w:val="08F4B3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D71033"/>
    <w:multiLevelType w:val="hybridMultilevel"/>
    <w:tmpl w:val="0786EA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B53EA0"/>
    <w:multiLevelType w:val="hybridMultilevel"/>
    <w:tmpl w:val="C3A66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184E8D"/>
    <w:multiLevelType w:val="hybridMultilevel"/>
    <w:tmpl w:val="9544F7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0B231D8"/>
    <w:multiLevelType w:val="hybridMultilevel"/>
    <w:tmpl w:val="C8D41C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D19BB"/>
    <w:multiLevelType w:val="hybridMultilevel"/>
    <w:tmpl w:val="AEAA1CD8"/>
    <w:lvl w:ilvl="0" w:tplc="7326F5F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A753222"/>
    <w:multiLevelType w:val="hybridMultilevel"/>
    <w:tmpl w:val="A2D42354"/>
    <w:lvl w:ilvl="0" w:tplc="EEBE98B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F4D11C9"/>
    <w:multiLevelType w:val="hybridMultilevel"/>
    <w:tmpl w:val="151C27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4AB5D38"/>
    <w:multiLevelType w:val="hybridMultilevel"/>
    <w:tmpl w:val="F88000FC"/>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1" w15:restartNumberingAfterBreak="0">
    <w:nsid w:val="2A442771"/>
    <w:multiLevelType w:val="hybridMultilevel"/>
    <w:tmpl w:val="AAFACF9E"/>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0061F85"/>
    <w:multiLevelType w:val="hybridMultilevel"/>
    <w:tmpl w:val="B3040E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0DC2607"/>
    <w:multiLevelType w:val="hybridMultilevel"/>
    <w:tmpl w:val="2EC81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8028E1"/>
    <w:multiLevelType w:val="hybridMultilevel"/>
    <w:tmpl w:val="F7D65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886E26"/>
    <w:multiLevelType w:val="hybridMultilevel"/>
    <w:tmpl w:val="0A965BC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1755720"/>
    <w:multiLevelType w:val="hybridMultilevel"/>
    <w:tmpl w:val="6330A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6FC0574"/>
    <w:multiLevelType w:val="hybridMultilevel"/>
    <w:tmpl w:val="C0D07C4C"/>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8" w15:restartNumberingAfterBreak="0">
    <w:nsid w:val="4871532B"/>
    <w:multiLevelType w:val="hybridMultilevel"/>
    <w:tmpl w:val="9F62E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BC6BB5"/>
    <w:multiLevelType w:val="hybridMultilevel"/>
    <w:tmpl w:val="D57A390E"/>
    <w:lvl w:ilvl="0" w:tplc="9640876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4EB25139"/>
    <w:multiLevelType w:val="hybridMultilevel"/>
    <w:tmpl w:val="66A2E88C"/>
    <w:lvl w:ilvl="0" w:tplc="04090019">
      <w:start w:val="1"/>
      <w:numFmt w:val="lowerLetter"/>
      <w:lvlText w:val="%1."/>
      <w:lvlJc w:val="left"/>
      <w:pPr>
        <w:tabs>
          <w:tab w:val="num" w:pos="1080"/>
        </w:tabs>
        <w:ind w:left="1080" w:hanging="360"/>
      </w:pPr>
    </w:lvl>
    <w:lvl w:ilvl="1" w:tplc="9F9C9C74">
      <w:start w:val="1"/>
      <w:numFmt w:val="upperRoman"/>
      <w:lvlText w:val="%2."/>
      <w:lvlJc w:val="left"/>
      <w:pPr>
        <w:tabs>
          <w:tab w:val="num" w:pos="2160"/>
        </w:tabs>
        <w:ind w:left="2160" w:hanging="720"/>
      </w:pPr>
      <w:rPr>
        <w:rFonts w:hint="default"/>
      </w:rPr>
    </w:lvl>
    <w:lvl w:ilvl="2" w:tplc="EC2AA7D4">
      <w:start w:val="1"/>
      <w:numFmt w:val="upperLetter"/>
      <w:lvlText w:val="%3."/>
      <w:lvlJc w:val="left"/>
      <w:pPr>
        <w:tabs>
          <w:tab w:val="num" w:pos="2700"/>
        </w:tabs>
        <w:ind w:left="2700" w:hanging="360"/>
      </w:pPr>
      <w:rPr>
        <w:rFonts w:hint="default"/>
      </w:rPr>
    </w:lvl>
    <w:lvl w:ilvl="3" w:tplc="04090001">
      <w:start w:val="1"/>
      <w:numFmt w:val="bullet"/>
      <w:lvlText w:val=""/>
      <w:lvlJc w:val="left"/>
      <w:pPr>
        <w:tabs>
          <w:tab w:val="num" w:pos="3240"/>
        </w:tabs>
        <w:ind w:left="3240" w:hanging="360"/>
      </w:pPr>
      <w:rPr>
        <w:rFonts w:ascii="Symbol" w:hAnsi="Symbol" w:hint="default"/>
      </w:rPr>
    </w:lvl>
    <w:lvl w:ilvl="4" w:tplc="04090019">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4F8855BA"/>
    <w:multiLevelType w:val="hybridMultilevel"/>
    <w:tmpl w:val="1CCAD79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FE82D5C"/>
    <w:multiLevelType w:val="hybridMultilevel"/>
    <w:tmpl w:val="9DE610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4F216BD"/>
    <w:multiLevelType w:val="hybridMultilevel"/>
    <w:tmpl w:val="79786F36"/>
    <w:lvl w:ilvl="0" w:tplc="8B82607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57342F7C"/>
    <w:multiLevelType w:val="hybridMultilevel"/>
    <w:tmpl w:val="C7E2CA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7F64944"/>
    <w:multiLevelType w:val="multilevel"/>
    <w:tmpl w:val="13A6376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5B7728DB"/>
    <w:multiLevelType w:val="hybridMultilevel"/>
    <w:tmpl w:val="3AB6DB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1763A21"/>
    <w:multiLevelType w:val="hybridMultilevel"/>
    <w:tmpl w:val="A126DE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2081345"/>
    <w:multiLevelType w:val="hybridMultilevel"/>
    <w:tmpl w:val="144E7BDE"/>
    <w:lvl w:ilvl="0" w:tplc="F0E6558A">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638A6601"/>
    <w:multiLevelType w:val="hybridMultilevel"/>
    <w:tmpl w:val="A5D20AAC"/>
    <w:lvl w:ilvl="0" w:tplc="04090019">
      <w:start w:val="1"/>
      <w:numFmt w:val="lowerLetter"/>
      <w:lvlText w:val="%1."/>
      <w:lvlJc w:val="left"/>
      <w:pPr>
        <w:tabs>
          <w:tab w:val="num" w:pos="1080"/>
        </w:tabs>
        <w:ind w:left="1080" w:hanging="360"/>
      </w:pPr>
    </w:lvl>
    <w:lvl w:ilvl="1" w:tplc="15EC509E">
      <w:start w:val="8"/>
      <w:numFmt w:val="upperLetter"/>
      <w:lvlText w:val="%2."/>
      <w:lvlJc w:val="left"/>
      <w:pPr>
        <w:tabs>
          <w:tab w:val="num" w:pos="1800"/>
        </w:tabs>
        <w:ind w:left="1800" w:hanging="360"/>
      </w:pPr>
      <w:rPr>
        <w:rFonts w:hint="default"/>
      </w:rPr>
    </w:lvl>
    <w:lvl w:ilvl="2" w:tplc="E3B09852">
      <w:start w:val="2"/>
      <w:numFmt w:val="decimal"/>
      <w:lvlText w:val="%3"/>
      <w:lvlJc w:val="left"/>
      <w:pPr>
        <w:tabs>
          <w:tab w:val="num" w:pos="2700"/>
        </w:tabs>
        <w:ind w:left="2700" w:hanging="360"/>
      </w:pPr>
      <w:rPr>
        <w:rFonts w:hint="default"/>
        <w:b w:val="0"/>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6A9F3025"/>
    <w:multiLevelType w:val="hybridMultilevel"/>
    <w:tmpl w:val="4E102F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4B04AB5"/>
    <w:multiLevelType w:val="hybridMultilevel"/>
    <w:tmpl w:val="A4CCD7E4"/>
    <w:lvl w:ilvl="0" w:tplc="7326F5F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B1B7D89"/>
    <w:multiLevelType w:val="hybridMultilevel"/>
    <w:tmpl w:val="67F0E4D2"/>
    <w:lvl w:ilvl="0" w:tplc="D7AA31FE">
      <w:start w:val="1"/>
      <w:numFmt w:val="bullet"/>
      <w:lvlText w:val="•"/>
      <w:lvlJc w:val="left"/>
      <w:pPr>
        <w:tabs>
          <w:tab w:val="num" w:pos="720"/>
        </w:tabs>
        <w:ind w:left="720" w:hanging="360"/>
      </w:pPr>
      <w:rPr>
        <w:rFonts w:ascii="Arial" w:hAnsi="Arial" w:hint="default"/>
      </w:rPr>
    </w:lvl>
    <w:lvl w:ilvl="1" w:tplc="6DDCFDC0" w:tentative="1">
      <w:start w:val="1"/>
      <w:numFmt w:val="bullet"/>
      <w:lvlText w:val="•"/>
      <w:lvlJc w:val="left"/>
      <w:pPr>
        <w:tabs>
          <w:tab w:val="num" w:pos="1440"/>
        </w:tabs>
        <w:ind w:left="1440" w:hanging="360"/>
      </w:pPr>
      <w:rPr>
        <w:rFonts w:ascii="Arial" w:hAnsi="Arial" w:hint="default"/>
      </w:rPr>
    </w:lvl>
    <w:lvl w:ilvl="2" w:tplc="508EC4C0" w:tentative="1">
      <w:start w:val="1"/>
      <w:numFmt w:val="bullet"/>
      <w:lvlText w:val="•"/>
      <w:lvlJc w:val="left"/>
      <w:pPr>
        <w:tabs>
          <w:tab w:val="num" w:pos="2160"/>
        </w:tabs>
        <w:ind w:left="2160" w:hanging="360"/>
      </w:pPr>
      <w:rPr>
        <w:rFonts w:ascii="Arial" w:hAnsi="Arial" w:hint="default"/>
      </w:rPr>
    </w:lvl>
    <w:lvl w:ilvl="3" w:tplc="80A23500" w:tentative="1">
      <w:start w:val="1"/>
      <w:numFmt w:val="bullet"/>
      <w:lvlText w:val="•"/>
      <w:lvlJc w:val="left"/>
      <w:pPr>
        <w:tabs>
          <w:tab w:val="num" w:pos="2880"/>
        </w:tabs>
        <w:ind w:left="2880" w:hanging="360"/>
      </w:pPr>
      <w:rPr>
        <w:rFonts w:ascii="Arial" w:hAnsi="Arial" w:hint="default"/>
      </w:rPr>
    </w:lvl>
    <w:lvl w:ilvl="4" w:tplc="BEDC90B4" w:tentative="1">
      <w:start w:val="1"/>
      <w:numFmt w:val="bullet"/>
      <w:lvlText w:val="•"/>
      <w:lvlJc w:val="left"/>
      <w:pPr>
        <w:tabs>
          <w:tab w:val="num" w:pos="3600"/>
        </w:tabs>
        <w:ind w:left="3600" w:hanging="360"/>
      </w:pPr>
      <w:rPr>
        <w:rFonts w:ascii="Arial" w:hAnsi="Arial" w:hint="default"/>
      </w:rPr>
    </w:lvl>
    <w:lvl w:ilvl="5" w:tplc="E9D05282" w:tentative="1">
      <w:start w:val="1"/>
      <w:numFmt w:val="bullet"/>
      <w:lvlText w:val="•"/>
      <w:lvlJc w:val="left"/>
      <w:pPr>
        <w:tabs>
          <w:tab w:val="num" w:pos="4320"/>
        </w:tabs>
        <w:ind w:left="4320" w:hanging="360"/>
      </w:pPr>
      <w:rPr>
        <w:rFonts w:ascii="Arial" w:hAnsi="Arial" w:hint="default"/>
      </w:rPr>
    </w:lvl>
    <w:lvl w:ilvl="6" w:tplc="B1E667D2" w:tentative="1">
      <w:start w:val="1"/>
      <w:numFmt w:val="bullet"/>
      <w:lvlText w:val="•"/>
      <w:lvlJc w:val="left"/>
      <w:pPr>
        <w:tabs>
          <w:tab w:val="num" w:pos="5040"/>
        </w:tabs>
        <w:ind w:left="5040" w:hanging="360"/>
      </w:pPr>
      <w:rPr>
        <w:rFonts w:ascii="Arial" w:hAnsi="Arial" w:hint="default"/>
      </w:rPr>
    </w:lvl>
    <w:lvl w:ilvl="7" w:tplc="45E0F782" w:tentative="1">
      <w:start w:val="1"/>
      <w:numFmt w:val="bullet"/>
      <w:lvlText w:val="•"/>
      <w:lvlJc w:val="left"/>
      <w:pPr>
        <w:tabs>
          <w:tab w:val="num" w:pos="5760"/>
        </w:tabs>
        <w:ind w:left="5760" w:hanging="360"/>
      </w:pPr>
      <w:rPr>
        <w:rFonts w:ascii="Arial" w:hAnsi="Arial" w:hint="default"/>
      </w:rPr>
    </w:lvl>
    <w:lvl w:ilvl="8" w:tplc="D3B0B0D2"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7C023CBF"/>
    <w:multiLevelType w:val="hybridMultilevel"/>
    <w:tmpl w:val="46743DE4"/>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613825004">
    <w:abstractNumId w:val="24"/>
  </w:num>
  <w:num w:numId="2" w16cid:durableId="1817722990">
    <w:abstractNumId w:val="26"/>
  </w:num>
  <w:num w:numId="3" w16cid:durableId="1041243939">
    <w:abstractNumId w:val="6"/>
  </w:num>
  <w:num w:numId="4" w16cid:durableId="427389065">
    <w:abstractNumId w:val="9"/>
  </w:num>
  <w:num w:numId="5" w16cid:durableId="1735422155">
    <w:abstractNumId w:val="22"/>
  </w:num>
  <w:num w:numId="6" w16cid:durableId="1208420830">
    <w:abstractNumId w:val="5"/>
  </w:num>
  <w:num w:numId="7" w16cid:durableId="1188637698">
    <w:abstractNumId w:val="30"/>
  </w:num>
  <w:num w:numId="8" w16cid:durableId="742218256">
    <w:abstractNumId w:val="0"/>
  </w:num>
  <w:num w:numId="9" w16cid:durableId="1873299338">
    <w:abstractNumId w:val="27"/>
  </w:num>
  <w:num w:numId="10" w16cid:durableId="438792677">
    <w:abstractNumId w:val="29"/>
  </w:num>
  <w:num w:numId="11" w16cid:durableId="1732194814">
    <w:abstractNumId w:val="20"/>
  </w:num>
  <w:num w:numId="12" w16cid:durableId="61148040">
    <w:abstractNumId w:val="23"/>
  </w:num>
  <w:num w:numId="13" w16cid:durableId="437650273">
    <w:abstractNumId w:val="28"/>
  </w:num>
  <w:num w:numId="14" w16cid:durableId="305281086">
    <w:abstractNumId w:val="19"/>
  </w:num>
  <w:num w:numId="15" w16cid:durableId="148668366">
    <w:abstractNumId w:val="15"/>
  </w:num>
  <w:num w:numId="16" w16cid:durableId="1422067209">
    <w:abstractNumId w:val="33"/>
  </w:num>
  <w:num w:numId="17" w16cid:durableId="1236940190">
    <w:abstractNumId w:val="21"/>
  </w:num>
  <w:num w:numId="18" w16cid:durableId="1571841145">
    <w:abstractNumId w:val="1"/>
  </w:num>
  <w:num w:numId="19" w16cid:durableId="1759600559">
    <w:abstractNumId w:val="12"/>
  </w:num>
  <w:num w:numId="20" w16cid:durableId="1002465310">
    <w:abstractNumId w:val="11"/>
  </w:num>
  <w:num w:numId="21" w16cid:durableId="746998889">
    <w:abstractNumId w:val="7"/>
  </w:num>
  <w:num w:numId="22" w16cid:durableId="946499546">
    <w:abstractNumId w:val="31"/>
  </w:num>
  <w:num w:numId="23" w16cid:durableId="1718354768">
    <w:abstractNumId w:val="10"/>
  </w:num>
  <w:num w:numId="24" w16cid:durableId="1462386836">
    <w:abstractNumId w:val="2"/>
  </w:num>
  <w:num w:numId="25" w16cid:durableId="1887059013">
    <w:abstractNumId w:val="17"/>
  </w:num>
  <w:num w:numId="26" w16cid:durableId="1540818042">
    <w:abstractNumId w:val="16"/>
  </w:num>
  <w:num w:numId="27" w16cid:durableId="660619411">
    <w:abstractNumId w:val="18"/>
  </w:num>
  <w:num w:numId="28" w16cid:durableId="634918541">
    <w:abstractNumId w:val="8"/>
  </w:num>
  <w:num w:numId="29" w16cid:durableId="952786660">
    <w:abstractNumId w:val="3"/>
  </w:num>
  <w:num w:numId="30" w16cid:durableId="95252280">
    <w:abstractNumId w:val="14"/>
  </w:num>
  <w:num w:numId="31" w16cid:durableId="1368531258">
    <w:abstractNumId w:val="13"/>
  </w:num>
  <w:num w:numId="32" w16cid:durableId="1994947921">
    <w:abstractNumId w:val="25"/>
  </w:num>
  <w:num w:numId="33" w16cid:durableId="10206226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82775109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14153877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90610865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8072092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1097540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10542167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62044895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846744663">
    <w:abstractNumId w:val="32"/>
  </w:num>
  <w:num w:numId="42" w16cid:durableId="579947442">
    <w:abstractNumId w:val="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B28"/>
    <w:rsid w:val="00001B90"/>
    <w:rsid w:val="0000252F"/>
    <w:rsid w:val="00003012"/>
    <w:rsid w:val="00003D01"/>
    <w:rsid w:val="00021C7C"/>
    <w:rsid w:val="00022934"/>
    <w:rsid w:val="00031CEF"/>
    <w:rsid w:val="000357FB"/>
    <w:rsid w:val="00037FE7"/>
    <w:rsid w:val="0004595C"/>
    <w:rsid w:val="000464C1"/>
    <w:rsid w:val="00047FE9"/>
    <w:rsid w:val="0005494A"/>
    <w:rsid w:val="0006273D"/>
    <w:rsid w:val="00075FE3"/>
    <w:rsid w:val="000768D8"/>
    <w:rsid w:val="00082361"/>
    <w:rsid w:val="000842C2"/>
    <w:rsid w:val="00086B8A"/>
    <w:rsid w:val="00091C8C"/>
    <w:rsid w:val="000933C3"/>
    <w:rsid w:val="00095570"/>
    <w:rsid w:val="000B12FD"/>
    <w:rsid w:val="000B1A98"/>
    <w:rsid w:val="000B4CFA"/>
    <w:rsid w:val="000C4C36"/>
    <w:rsid w:val="000D41A2"/>
    <w:rsid w:val="000E125C"/>
    <w:rsid w:val="000F4240"/>
    <w:rsid w:val="000F60BA"/>
    <w:rsid w:val="00116428"/>
    <w:rsid w:val="00125E91"/>
    <w:rsid w:val="00126D8F"/>
    <w:rsid w:val="001456C4"/>
    <w:rsid w:val="00150DEF"/>
    <w:rsid w:val="00165715"/>
    <w:rsid w:val="001C507B"/>
    <w:rsid w:val="001C5C8E"/>
    <w:rsid w:val="001E379B"/>
    <w:rsid w:val="00200861"/>
    <w:rsid w:val="00205896"/>
    <w:rsid w:val="00211AA6"/>
    <w:rsid w:val="00216715"/>
    <w:rsid w:val="002373E0"/>
    <w:rsid w:val="00241D40"/>
    <w:rsid w:val="00254ACF"/>
    <w:rsid w:val="00273C2C"/>
    <w:rsid w:val="002756DB"/>
    <w:rsid w:val="00277F72"/>
    <w:rsid w:val="00284DE5"/>
    <w:rsid w:val="00290EC2"/>
    <w:rsid w:val="00291159"/>
    <w:rsid w:val="00291193"/>
    <w:rsid w:val="002A7F6B"/>
    <w:rsid w:val="002B6AAB"/>
    <w:rsid w:val="002C32D1"/>
    <w:rsid w:val="002D48A8"/>
    <w:rsid w:val="00335DC0"/>
    <w:rsid w:val="00340991"/>
    <w:rsid w:val="00347DC3"/>
    <w:rsid w:val="003553DB"/>
    <w:rsid w:val="00386088"/>
    <w:rsid w:val="00387D4E"/>
    <w:rsid w:val="003A03E7"/>
    <w:rsid w:val="003B792D"/>
    <w:rsid w:val="003C017F"/>
    <w:rsid w:val="003D1DA8"/>
    <w:rsid w:val="003F2A3D"/>
    <w:rsid w:val="00400E5F"/>
    <w:rsid w:val="00405A17"/>
    <w:rsid w:val="004072FB"/>
    <w:rsid w:val="00422560"/>
    <w:rsid w:val="00426F7F"/>
    <w:rsid w:val="00427FD5"/>
    <w:rsid w:val="004430BE"/>
    <w:rsid w:val="00455398"/>
    <w:rsid w:val="0047141B"/>
    <w:rsid w:val="0048084D"/>
    <w:rsid w:val="00480D2E"/>
    <w:rsid w:val="004A0F83"/>
    <w:rsid w:val="004A1141"/>
    <w:rsid w:val="004A4E2A"/>
    <w:rsid w:val="004B1E14"/>
    <w:rsid w:val="004B57D1"/>
    <w:rsid w:val="004D482B"/>
    <w:rsid w:val="004D490F"/>
    <w:rsid w:val="004D6E43"/>
    <w:rsid w:val="004E137A"/>
    <w:rsid w:val="004E51A2"/>
    <w:rsid w:val="004F084B"/>
    <w:rsid w:val="004F100B"/>
    <w:rsid w:val="004F4595"/>
    <w:rsid w:val="004F672F"/>
    <w:rsid w:val="00502766"/>
    <w:rsid w:val="00516708"/>
    <w:rsid w:val="005265C3"/>
    <w:rsid w:val="00534963"/>
    <w:rsid w:val="00542AC7"/>
    <w:rsid w:val="00553F03"/>
    <w:rsid w:val="00555C67"/>
    <w:rsid w:val="005560AD"/>
    <w:rsid w:val="00564E3C"/>
    <w:rsid w:val="0056617E"/>
    <w:rsid w:val="005772DE"/>
    <w:rsid w:val="0058062D"/>
    <w:rsid w:val="00583092"/>
    <w:rsid w:val="00585FBB"/>
    <w:rsid w:val="0058702A"/>
    <w:rsid w:val="00587AF7"/>
    <w:rsid w:val="0059260D"/>
    <w:rsid w:val="0059423B"/>
    <w:rsid w:val="005967B0"/>
    <w:rsid w:val="005B442C"/>
    <w:rsid w:val="005B58A9"/>
    <w:rsid w:val="005C63C4"/>
    <w:rsid w:val="005D2F59"/>
    <w:rsid w:val="005D3FDE"/>
    <w:rsid w:val="005D62DE"/>
    <w:rsid w:val="005E25ED"/>
    <w:rsid w:val="005F18FC"/>
    <w:rsid w:val="005F3CB6"/>
    <w:rsid w:val="006031E7"/>
    <w:rsid w:val="00610DC7"/>
    <w:rsid w:val="0061611D"/>
    <w:rsid w:val="006170AA"/>
    <w:rsid w:val="006216CA"/>
    <w:rsid w:val="00633F68"/>
    <w:rsid w:val="00635318"/>
    <w:rsid w:val="0063798F"/>
    <w:rsid w:val="006421D8"/>
    <w:rsid w:val="006522B8"/>
    <w:rsid w:val="006855B5"/>
    <w:rsid w:val="0069068D"/>
    <w:rsid w:val="00693BD1"/>
    <w:rsid w:val="0069647C"/>
    <w:rsid w:val="00697CF4"/>
    <w:rsid w:val="006A406D"/>
    <w:rsid w:val="006B593E"/>
    <w:rsid w:val="006C3F27"/>
    <w:rsid w:val="006C4E1F"/>
    <w:rsid w:val="006C66E4"/>
    <w:rsid w:val="006D50E9"/>
    <w:rsid w:val="006E7C22"/>
    <w:rsid w:val="006F6651"/>
    <w:rsid w:val="00704101"/>
    <w:rsid w:val="00710E9F"/>
    <w:rsid w:val="0071532E"/>
    <w:rsid w:val="00715883"/>
    <w:rsid w:val="0073165F"/>
    <w:rsid w:val="00733BD3"/>
    <w:rsid w:val="00740D54"/>
    <w:rsid w:val="00751B8E"/>
    <w:rsid w:val="007565CF"/>
    <w:rsid w:val="0076160C"/>
    <w:rsid w:val="00780118"/>
    <w:rsid w:val="00780A7D"/>
    <w:rsid w:val="0079013F"/>
    <w:rsid w:val="0079244A"/>
    <w:rsid w:val="007B101D"/>
    <w:rsid w:val="007D2162"/>
    <w:rsid w:val="007D220A"/>
    <w:rsid w:val="007D6C32"/>
    <w:rsid w:val="007F3131"/>
    <w:rsid w:val="00805FFA"/>
    <w:rsid w:val="00806FCA"/>
    <w:rsid w:val="00812E1E"/>
    <w:rsid w:val="008220D1"/>
    <w:rsid w:val="0083195A"/>
    <w:rsid w:val="00832C3A"/>
    <w:rsid w:val="008371A7"/>
    <w:rsid w:val="008414C4"/>
    <w:rsid w:val="008439EE"/>
    <w:rsid w:val="0084610E"/>
    <w:rsid w:val="00881485"/>
    <w:rsid w:val="00884D68"/>
    <w:rsid w:val="008A1C1A"/>
    <w:rsid w:val="008B3F8A"/>
    <w:rsid w:val="008C4B00"/>
    <w:rsid w:val="008C4BF3"/>
    <w:rsid w:val="008E1446"/>
    <w:rsid w:val="008E2796"/>
    <w:rsid w:val="008E3AE9"/>
    <w:rsid w:val="0091683C"/>
    <w:rsid w:val="00921AB3"/>
    <w:rsid w:val="00930100"/>
    <w:rsid w:val="00930F57"/>
    <w:rsid w:val="00936C16"/>
    <w:rsid w:val="00937DE0"/>
    <w:rsid w:val="0095463A"/>
    <w:rsid w:val="00955936"/>
    <w:rsid w:val="00986AFA"/>
    <w:rsid w:val="009939A5"/>
    <w:rsid w:val="0099428C"/>
    <w:rsid w:val="0099663D"/>
    <w:rsid w:val="009974C7"/>
    <w:rsid w:val="009A2650"/>
    <w:rsid w:val="009B0622"/>
    <w:rsid w:val="009D33DE"/>
    <w:rsid w:val="009D579E"/>
    <w:rsid w:val="009E4CF4"/>
    <w:rsid w:val="009F1188"/>
    <w:rsid w:val="00A033D0"/>
    <w:rsid w:val="00A06C00"/>
    <w:rsid w:val="00A111B6"/>
    <w:rsid w:val="00A12B13"/>
    <w:rsid w:val="00A14102"/>
    <w:rsid w:val="00A15305"/>
    <w:rsid w:val="00A246CB"/>
    <w:rsid w:val="00A2620A"/>
    <w:rsid w:val="00A31547"/>
    <w:rsid w:val="00A54407"/>
    <w:rsid w:val="00A54631"/>
    <w:rsid w:val="00A60FF4"/>
    <w:rsid w:val="00A67735"/>
    <w:rsid w:val="00A74683"/>
    <w:rsid w:val="00A75A5D"/>
    <w:rsid w:val="00A77807"/>
    <w:rsid w:val="00A82599"/>
    <w:rsid w:val="00A93935"/>
    <w:rsid w:val="00A969FD"/>
    <w:rsid w:val="00AA2161"/>
    <w:rsid w:val="00AB4FF8"/>
    <w:rsid w:val="00AD5C6E"/>
    <w:rsid w:val="00AE20E9"/>
    <w:rsid w:val="00AE55EC"/>
    <w:rsid w:val="00AF2BF7"/>
    <w:rsid w:val="00B06FDA"/>
    <w:rsid w:val="00B17576"/>
    <w:rsid w:val="00B4124B"/>
    <w:rsid w:val="00B551B4"/>
    <w:rsid w:val="00B673F3"/>
    <w:rsid w:val="00B74310"/>
    <w:rsid w:val="00B75777"/>
    <w:rsid w:val="00B8082D"/>
    <w:rsid w:val="00B81B1B"/>
    <w:rsid w:val="00BD3D72"/>
    <w:rsid w:val="00BE280D"/>
    <w:rsid w:val="00C029B0"/>
    <w:rsid w:val="00C06109"/>
    <w:rsid w:val="00C117F6"/>
    <w:rsid w:val="00C12F2D"/>
    <w:rsid w:val="00C212B7"/>
    <w:rsid w:val="00C241B5"/>
    <w:rsid w:val="00C24A7D"/>
    <w:rsid w:val="00C3152C"/>
    <w:rsid w:val="00C43766"/>
    <w:rsid w:val="00C45C91"/>
    <w:rsid w:val="00C511BA"/>
    <w:rsid w:val="00C52D70"/>
    <w:rsid w:val="00C53E82"/>
    <w:rsid w:val="00C70C22"/>
    <w:rsid w:val="00C716A9"/>
    <w:rsid w:val="00C87575"/>
    <w:rsid w:val="00CA19D9"/>
    <w:rsid w:val="00CC73D3"/>
    <w:rsid w:val="00CD415D"/>
    <w:rsid w:val="00CE71A6"/>
    <w:rsid w:val="00CF28EE"/>
    <w:rsid w:val="00CF5854"/>
    <w:rsid w:val="00D02169"/>
    <w:rsid w:val="00D03FCE"/>
    <w:rsid w:val="00D075EC"/>
    <w:rsid w:val="00D10D48"/>
    <w:rsid w:val="00D16C88"/>
    <w:rsid w:val="00D20B28"/>
    <w:rsid w:val="00D410F8"/>
    <w:rsid w:val="00D632A8"/>
    <w:rsid w:val="00D6359D"/>
    <w:rsid w:val="00D63BF5"/>
    <w:rsid w:val="00D9288C"/>
    <w:rsid w:val="00D9436E"/>
    <w:rsid w:val="00D964E0"/>
    <w:rsid w:val="00DB51BB"/>
    <w:rsid w:val="00DC440A"/>
    <w:rsid w:val="00DD18AF"/>
    <w:rsid w:val="00DD694F"/>
    <w:rsid w:val="00E03867"/>
    <w:rsid w:val="00E3093D"/>
    <w:rsid w:val="00E35562"/>
    <w:rsid w:val="00E4177B"/>
    <w:rsid w:val="00E433B1"/>
    <w:rsid w:val="00E43E91"/>
    <w:rsid w:val="00E503E6"/>
    <w:rsid w:val="00E54123"/>
    <w:rsid w:val="00E5586B"/>
    <w:rsid w:val="00E67578"/>
    <w:rsid w:val="00E74D67"/>
    <w:rsid w:val="00E74DC4"/>
    <w:rsid w:val="00E75B45"/>
    <w:rsid w:val="00E76A42"/>
    <w:rsid w:val="00E86D2F"/>
    <w:rsid w:val="00EB1EAC"/>
    <w:rsid w:val="00EB7045"/>
    <w:rsid w:val="00ED5E4B"/>
    <w:rsid w:val="00EE0E1F"/>
    <w:rsid w:val="00EE606D"/>
    <w:rsid w:val="00EF59FA"/>
    <w:rsid w:val="00F137AF"/>
    <w:rsid w:val="00F23323"/>
    <w:rsid w:val="00F27FFE"/>
    <w:rsid w:val="00F30E97"/>
    <w:rsid w:val="00F33EBD"/>
    <w:rsid w:val="00F61F63"/>
    <w:rsid w:val="00F64800"/>
    <w:rsid w:val="00F64A0C"/>
    <w:rsid w:val="00F8068E"/>
    <w:rsid w:val="00F862A2"/>
    <w:rsid w:val="00F91A3B"/>
    <w:rsid w:val="00F95D78"/>
    <w:rsid w:val="00FA00EC"/>
    <w:rsid w:val="00FB0A27"/>
    <w:rsid w:val="00FC133C"/>
    <w:rsid w:val="00FC25B2"/>
    <w:rsid w:val="00FD1068"/>
    <w:rsid w:val="00FD5CFE"/>
    <w:rsid w:val="00FE421A"/>
    <w:rsid w:val="00FE6BCF"/>
    <w:rsid w:val="00FE78CA"/>
    <w:rsid w:val="00FF4198"/>
    <w:rsid w:val="00FF60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402F278A"/>
  <w15:docId w15:val="{CFF43F2F-760E-4B1F-9AA6-51457AE8C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b/>
      <w:kern w:val="28"/>
      <w:sz w:val="28"/>
      <w:szCs w:val="20"/>
    </w:rPr>
  </w:style>
  <w:style w:type="paragraph" w:styleId="Heading2">
    <w:name w:val="heading 2"/>
    <w:basedOn w:val="Normal"/>
    <w:next w:val="Normal"/>
    <w:qFormat/>
    <w:pPr>
      <w:keepNext/>
      <w:spacing w:before="240" w:after="60"/>
      <w:outlineLvl w:val="1"/>
    </w:pPr>
    <w:rPr>
      <w:rFonts w:ascii="Arial" w:hAnsi="Arial"/>
      <w:b/>
      <w:i/>
      <w:szCs w:val="20"/>
    </w:rPr>
  </w:style>
  <w:style w:type="paragraph" w:styleId="Heading3">
    <w:name w:val="heading 3"/>
    <w:basedOn w:val="Normal"/>
    <w:next w:val="Normal"/>
    <w:qFormat/>
    <w:pPr>
      <w:keepNext/>
      <w:spacing w:before="240" w:after="60"/>
      <w:outlineLvl w:val="2"/>
    </w:pPr>
    <w:rPr>
      <w:rFonts w:ascii="Arial" w:hAnsi="Arial"/>
      <w:szCs w:val="20"/>
    </w:rPr>
  </w:style>
  <w:style w:type="paragraph" w:styleId="Heading4">
    <w:name w:val="heading 4"/>
    <w:basedOn w:val="Normal"/>
    <w:next w:val="Normal"/>
    <w:qFormat/>
    <w:pPr>
      <w:keepNext/>
      <w:spacing w:before="240" w:after="60"/>
      <w:outlineLvl w:val="3"/>
    </w:pPr>
    <w:rPr>
      <w:rFonts w:ascii="Arial" w:hAnsi="Arial"/>
      <w:b/>
      <w:szCs w:val="20"/>
    </w:rPr>
  </w:style>
  <w:style w:type="paragraph" w:styleId="Heading5">
    <w:name w:val="heading 5"/>
    <w:basedOn w:val="Normal"/>
    <w:next w:val="Normal"/>
    <w:qFormat/>
    <w:pPr>
      <w:keepNext/>
      <w:jc w:val="center"/>
      <w:outlineLvl w:val="4"/>
    </w:pPr>
    <w:rPr>
      <w:b/>
      <w:bCs/>
      <w:sz w:val="4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BodyText">
    <w:name w:val="Body Text"/>
    <w:basedOn w:val="Normal"/>
    <w:rPr>
      <w:szCs w:val="20"/>
    </w:rPr>
  </w:style>
  <w:style w:type="paragraph" w:styleId="EndnoteText">
    <w:name w:val="endnote text"/>
    <w:basedOn w:val="Normal"/>
    <w:semiHidden/>
    <w:rPr>
      <w:sz w:val="20"/>
      <w:szCs w:val="20"/>
    </w:rPr>
  </w:style>
  <w:style w:type="character" w:styleId="Hyperlink">
    <w:name w:val="Hyperlink"/>
    <w:rPr>
      <w:color w:val="0000FF"/>
      <w:u w:val="single"/>
    </w:rPr>
  </w:style>
  <w:style w:type="paragraph" w:customStyle="1" w:styleId="nor">
    <w:name w:val="nor"/>
    <w:basedOn w:val="Heading4"/>
    <w:pPr>
      <w:spacing w:before="0" w:after="0"/>
    </w:pPr>
    <w:rPr>
      <w:rFonts w:ascii="Times New Roman" w:hAnsi="Times New Roman"/>
      <w:bCs/>
    </w:rPr>
  </w:style>
  <w:style w:type="character" w:styleId="CommentReference">
    <w:name w:val="annotation reference"/>
    <w:semiHidden/>
    <w:rPr>
      <w:sz w:val="16"/>
    </w:rPr>
  </w:style>
  <w:style w:type="paragraph" w:styleId="TOC1">
    <w:name w:val="toc 1"/>
    <w:basedOn w:val="Normal"/>
    <w:next w:val="Normal"/>
    <w:semiHidden/>
    <w:pPr>
      <w:tabs>
        <w:tab w:val="right" w:pos="10224"/>
      </w:tabs>
      <w:spacing w:before="240" w:after="120"/>
    </w:pPr>
    <w:rPr>
      <w:b/>
      <w:sz w:val="20"/>
      <w:szCs w:val="20"/>
    </w:rPr>
  </w:style>
  <w:style w:type="paragraph" w:styleId="BodyTextIndent">
    <w:name w:val="Body Text Indent"/>
    <w:basedOn w:val="Normal"/>
    <w:pPr>
      <w:ind w:left="90"/>
    </w:pPr>
    <w:rPr>
      <w:szCs w:val="20"/>
    </w:rPr>
  </w:style>
  <w:style w:type="paragraph" w:styleId="BlockText">
    <w:name w:val="Block Text"/>
    <w:basedOn w:val="Normal"/>
    <w:pPr>
      <w:ind w:left="-90" w:right="-80"/>
    </w:pPr>
    <w:rPr>
      <w:szCs w:val="20"/>
    </w:rPr>
  </w:style>
  <w:style w:type="paragraph" w:styleId="BodyText2">
    <w:name w:val="Body Text 2"/>
    <w:basedOn w:val="Normal"/>
    <w:pPr>
      <w:tabs>
        <w:tab w:val="left" w:pos="180"/>
      </w:tabs>
      <w:ind w:right="-80"/>
    </w:pPr>
    <w:rPr>
      <w:szCs w:val="20"/>
    </w:rPr>
  </w:style>
  <w:style w:type="character" w:styleId="PageNumber">
    <w:name w:val="page number"/>
    <w:basedOn w:val="DefaultParagraphFont"/>
  </w:style>
  <w:style w:type="paragraph" w:styleId="Footer">
    <w:name w:val="footer"/>
    <w:basedOn w:val="Normal"/>
    <w:pPr>
      <w:tabs>
        <w:tab w:val="center" w:pos="4320"/>
        <w:tab w:val="right" w:pos="8640"/>
      </w:tabs>
    </w:pPr>
    <w:rPr>
      <w:sz w:val="20"/>
      <w:szCs w:val="20"/>
    </w:rPr>
  </w:style>
  <w:style w:type="paragraph" w:styleId="CommentText">
    <w:name w:val="annotation text"/>
    <w:basedOn w:val="Normal"/>
    <w:semiHidden/>
    <w:pPr>
      <w:tabs>
        <w:tab w:val="left" w:pos="27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ind w:left="180" w:right="259"/>
    </w:pPr>
    <w:rPr>
      <w:rFonts w:ascii="Arial" w:hAnsi="Arial"/>
      <w:snapToGrid w:val="0"/>
      <w:color w:val="000000"/>
      <w:sz w:val="20"/>
      <w:szCs w:val="20"/>
    </w:rPr>
  </w:style>
  <w:style w:type="character" w:styleId="FollowedHyperlink">
    <w:name w:val="FollowedHyperlink"/>
    <w:rPr>
      <w:color w:val="800080"/>
      <w:u w:val="single"/>
    </w:rPr>
  </w:style>
  <w:style w:type="paragraph" w:customStyle="1" w:styleId="Style1">
    <w:name w:val="Style1"/>
    <w:basedOn w:val="Heading1"/>
    <w:next w:val="NormalIndent"/>
    <w:pPr>
      <w:ind w:left="720" w:hanging="720"/>
      <w:outlineLvl w:val="9"/>
    </w:pPr>
  </w:style>
  <w:style w:type="paragraph" w:styleId="NormalIndent">
    <w:name w:val="Normal Indent"/>
    <w:basedOn w:val="Normal"/>
    <w:pPr>
      <w:ind w:left="720"/>
    </w:pPr>
    <w:rPr>
      <w:rFonts w:ascii="Courier New" w:hAnsi="Courier New"/>
      <w:szCs w:val="20"/>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pPr>
      <w:tabs>
        <w:tab w:val="clear" w:pos="270"/>
        <w:tab w:val="clear" w:pos="540"/>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ind w:left="0" w:right="0"/>
    </w:pPr>
    <w:rPr>
      <w:rFonts w:ascii="Times New Roman" w:hAnsi="Times New Roman"/>
      <w:b/>
      <w:bCs/>
      <w:snapToGrid/>
      <w:color w:val="auto"/>
    </w:rPr>
  </w:style>
  <w:style w:type="character" w:customStyle="1" w:styleId="CommentTextChar">
    <w:name w:val="Comment Text Char"/>
    <w:semiHidden/>
    <w:rPr>
      <w:rFonts w:ascii="Arial" w:hAnsi="Arial"/>
      <w:snapToGrid w:val="0"/>
      <w:color w:val="000000"/>
    </w:rPr>
  </w:style>
  <w:style w:type="character" w:customStyle="1" w:styleId="CommentSubjectChar">
    <w:name w:val="Comment Subject Char"/>
    <w:basedOn w:val="CommentTextChar"/>
    <w:rPr>
      <w:rFonts w:ascii="Arial" w:hAnsi="Arial"/>
      <w:snapToGrid w:val="0"/>
      <w:color w:val="000000"/>
    </w:rPr>
  </w:style>
  <w:style w:type="paragraph" w:customStyle="1" w:styleId="Default">
    <w:name w:val="Default"/>
    <w:rsid w:val="00386088"/>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386088"/>
    <w:pPr>
      <w:ind w:left="720"/>
    </w:pPr>
    <w:rPr>
      <w:szCs w:val="20"/>
    </w:rPr>
  </w:style>
  <w:style w:type="paragraph" w:styleId="BodyText3">
    <w:name w:val="Body Text 3"/>
    <w:basedOn w:val="Normal"/>
    <w:link w:val="BodyText3Char"/>
    <w:rsid w:val="006031E7"/>
    <w:pPr>
      <w:spacing w:after="120"/>
    </w:pPr>
    <w:rPr>
      <w:sz w:val="16"/>
      <w:szCs w:val="16"/>
    </w:rPr>
  </w:style>
  <w:style w:type="character" w:customStyle="1" w:styleId="BodyText3Char">
    <w:name w:val="Body Text 3 Char"/>
    <w:link w:val="BodyText3"/>
    <w:rsid w:val="006031E7"/>
    <w:rPr>
      <w:sz w:val="16"/>
      <w:szCs w:val="16"/>
    </w:rPr>
  </w:style>
  <w:style w:type="character" w:customStyle="1" w:styleId="tgc">
    <w:name w:val="_tgc"/>
    <w:basedOn w:val="DefaultParagraphFont"/>
    <w:rsid w:val="009D579E"/>
  </w:style>
  <w:style w:type="character" w:styleId="UnresolvedMention">
    <w:name w:val="Unresolved Mention"/>
    <w:basedOn w:val="DefaultParagraphFont"/>
    <w:uiPriority w:val="99"/>
    <w:semiHidden/>
    <w:unhideWhenUsed/>
    <w:rsid w:val="00D63BF5"/>
    <w:rPr>
      <w:color w:val="605E5C"/>
      <w:shd w:val="clear" w:color="auto" w:fill="E1DFDD"/>
    </w:rPr>
  </w:style>
  <w:style w:type="paragraph" w:styleId="NormalWeb">
    <w:name w:val="Normal (Web)"/>
    <w:basedOn w:val="Normal"/>
    <w:uiPriority w:val="99"/>
    <w:semiHidden/>
    <w:unhideWhenUsed/>
    <w:rsid w:val="00A111B6"/>
    <w:pPr>
      <w:spacing w:before="100" w:beforeAutospacing="1" w:after="100" w:afterAutospacing="1"/>
    </w:pPr>
  </w:style>
  <w:style w:type="character" w:styleId="Strong">
    <w:name w:val="Strong"/>
    <w:basedOn w:val="DefaultParagraphFont"/>
    <w:uiPriority w:val="22"/>
    <w:qFormat/>
    <w:rsid w:val="00A111B6"/>
    <w:rPr>
      <w:b/>
      <w:bCs/>
    </w:rPr>
  </w:style>
  <w:style w:type="paragraph" w:styleId="Revision">
    <w:name w:val="Revision"/>
    <w:hidden/>
    <w:uiPriority w:val="99"/>
    <w:semiHidden/>
    <w:rsid w:val="00C0610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9054305">
      <w:bodyDiv w:val="1"/>
      <w:marLeft w:val="0"/>
      <w:marRight w:val="0"/>
      <w:marTop w:val="0"/>
      <w:marBottom w:val="0"/>
      <w:divBdr>
        <w:top w:val="none" w:sz="0" w:space="0" w:color="auto"/>
        <w:left w:val="none" w:sz="0" w:space="0" w:color="auto"/>
        <w:bottom w:val="none" w:sz="0" w:space="0" w:color="auto"/>
        <w:right w:val="none" w:sz="0" w:space="0" w:color="auto"/>
      </w:divBdr>
    </w:div>
    <w:div w:id="314995503">
      <w:bodyDiv w:val="1"/>
      <w:marLeft w:val="0"/>
      <w:marRight w:val="0"/>
      <w:marTop w:val="0"/>
      <w:marBottom w:val="0"/>
      <w:divBdr>
        <w:top w:val="none" w:sz="0" w:space="0" w:color="auto"/>
        <w:left w:val="none" w:sz="0" w:space="0" w:color="auto"/>
        <w:bottom w:val="none" w:sz="0" w:space="0" w:color="auto"/>
        <w:right w:val="none" w:sz="0" w:space="0" w:color="auto"/>
      </w:divBdr>
    </w:div>
    <w:div w:id="970289791">
      <w:bodyDiv w:val="1"/>
      <w:marLeft w:val="0"/>
      <w:marRight w:val="0"/>
      <w:marTop w:val="0"/>
      <w:marBottom w:val="0"/>
      <w:divBdr>
        <w:top w:val="none" w:sz="0" w:space="0" w:color="auto"/>
        <w:left w:val="none" w:sz="0" w:space="0" w:color="auto"/>
        <w:bottom w:val="none" w:sz="0" w:space="0" w:color="auto"/>
        <w:right w:val="none" w:sz="0" w:space="0" w:color="auto"/>
      </w:divBdr>
    </w:div>
    <w:div w:id="1004551584">
      <w:bodyDiv w:val="1"/>
      <w:marLeft w:val="0"/>
      <w:marRight w:val="0"/>
      <w:marTop w:val="0"/>
      <w:marBottom w:val="0"/>
      <w:divBdr>
        <w:top w:val="none" w:sz="0" w:space="0" w:color="auto"/>
        <w:left w:val="none" w:sz="0" w:space="0" w:color="auto"/>
        <w:bottom w:val="none" w:sz="0" w:space="0" w:color="auto"/>
        <w:right w:val="none" w:sz="0" w:space="0" w:color="auto"/>
      </w:divBdr>
    </w:div>
    <w:div w:id="1008799907">
      <w:bodyDiv w:val="1"/>
      <w:marLeft w:val="0"/>
      <w:marRight w:val="0"/>
      <w:marTop w:val="0"/>
      <w:marBottom w:val="0"/>
      <w:divBdr>
        <w:top w:val="none" w:sz="0" w:space="0" w:color="auto"/>
        <w:left w:val="none" w:sz="0" w:space="0" w:color="auto"/>
        <w:bottom w:val="none" w:sz="0" w:space="0" w:color="auto"/>
        <w:right w:val="none" w:sz="0" w:space="0" w:color="auto"/>
      </w:divBdr>
    </w:div>
    <w:div w:id="1255356986">
      <w:bodyDiv w:val="1"/>
      <w:marLeft w:val="0"/>
      <w:marRight w:val="0"/>
      <w:marTop w:val="0"/>
      <w:marBottom w:val="0"/>
      <w:divBdr>
        <w:top w:val="none" w:sz="0" w:space="0" w:color="auto"/>
        <w:left w:val="none" w:sz="0" w:space="0" w:color="auto"/>
        <w:bottom w:val="none" w:sz="0" w:space="0" w:color="auto"/>
        <w:right w:val="none" w:sz="0" w:space="0" w:color="auto"/>
      </w:divBdr>
      <w:divsChild>
        <w:div w:id="1800030061">
          <w:marLeft w:val="475"/>
          <w:marRight w:val="0"/>
          <w:marTop w:val="360"/>
          <w:marBottom w:val="0"/>
          <w:divBdr>
            <w:top w:val="none" w:sz="0" w:space="0" w:color="auto"/>
            <w:left w:val="none" w:sz="0" w:space="0" w:color="auto"/>
            <w:bottom w:val="none" w:sz="0" w:space="0" w:color="auto"/>
            <w:right w:val="none" w:sz="0" w:space="0" w:color="auto"/>
          </w:divBdr>
        </w:div>
      </w:divsChild>
    </w:div>
    <w:div w:id="1675184999">
      <w:bodyDiv w:val="1"/>
      <w:marLeft w:val="0"/>
      <w:marRight w:val="0"/>
      <w:marTop w:val="0"/>
      <w:marBottom w:val="0"/>
      <w:divBdr>
        <w:top w:val="none" w:sz="0" w:space="0" w:color="auto"/>
        <w:left w:val="none" w:sz="0" w:space="0" w:color="auto"/>
        <w:bottom w:val="none" w:sz="0" w:space="0" w:color="auto"/>
        <w:right w:val="none" w:sz="0" w:space="0" w:color="auto"/>
      </w:divBdr>
    </w:div>
    <w:div w:id="19660420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sfcitypartner.sfgov.org/pages/become-a-supplier.aspx" TargetMode="External"/><Relationship Id="rId18" Type="http://schemas.openxmlformats.org/officeDocument/2006/relationships/hyperlink" Target="mailto:gloria.woo@sfgov.org" TargetMode="External"/><Relationship Id="rId26" Type="http://schemas.openxmlformats.org/officeDocument/2006/relationships/hyperlink" Target="http://sfmohcd.org/community-development-forms-and-documents" TargetMode="External"/><Relationship Id="rId3" Type="http://schemas.openxmlformats.org/officeDocument/2006/relationships/styles" Target="styles.xml"/><Relationship Id="rId21" Type="http://schemas.openxmlformats.org/officeDocument/2006/relationships/hyperlink" Target="http://sfcontroller.org/fiscal-and-compliance-monitoring"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sfgsa.org/index.aspx?page=391" TargetMode="External"/><Relationship Id="rId25" Type="http://schemas.openxmlformats.org/officeDocument/2006/relationships/hyperlink" Target="https://sf.gov/departments/mayors-office-housing-and-community-development" TargetMode="External"/><Relationship Id="rId2" Type="http://schemas.openxmlformats.org/officeDocument/2006/relationships/numbering" Target="numbering.xml"/><Relationship Id="rId16" Type="http://schemas.openxmlformats.org/officeDocument/2006/relationships/hyperlink" Target="https://www.ecfr.gov/cgi-bin/text-idx?tpl=/ecfrbrowse/Title02/2cfr200_main_02.tpl&amp;__cf_chl_captcha_tk__=1f9055c707f60ae89c990b6fb7371142b9e01d37-1593043835-0-AdpcFZyFP-mVwzlrgI1SCtoLJWo_j_IJhvbMF_ebx1UoX0yb8EJO4UYBgAWW---rsBbtkV7gd5WsNhQjiifrubIKH_HbEsZqBlBh_l-BrEmNtNZ2S3J_LWm3591Sjo7peBOi0lHSoAmNZ9sz5Qiqg1_ESeAx7YynupnXkCJrggssy3ZbUTdOpWJjh6Zqp-sysxvmiE4gmWH_gMMfHvjjnYaz1vev6Exj17T8_d5o_yEtA-HxKQU-gjCpfIhpz3QvVB33EdfwLTjQmw5iNYYQ0RTVvFJK5pyCg1VxnLT6456bJDq8FOWrJDZDdHi4-LqDLIelFLGkPekoMgThu3Wey2Jm5ECy1H_K5qqPshOR7B_yoFgETZdDeXzDzMXvg6xPO2HzpImONI5S7Q4pZ_Z1GGwCDd2eUCP6UAvISCxOj0YM4z3ab-RhfUVY0HVN0JkxridrEbgtsQvau0ZNzT7cCfcB-bpjxbyiQ-n7nTXNZTCXFsNKXU2O2w5jH_pTlvhCz1r-IJTWdJobYZNSPUEHelUP5HNw3Vm0cEX3fnrx7FpucsnY_mqAZ16GpqUXNTTLACX_XTeOH3u6SV60JEkqnq9V3D3z_P5ruAAPqTQav0D07wh3xj5rkpVklQY6V9Llcg" TargetMode="External"/><Relationship Id="rId20" Type="http://schemas.openxmlformats.org/officeDocument/2006/relationships/hyperlink" Target="http://sfcontroller.org/citywide-nonprofit-monitoring-and-capacity-building-program"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sf.gov/comply-first-source-hiring-program" TargetMode="External"/><Relationship Id="rId5" Type="http://schemas.openxmlformats.org/officeDocument/2006/relationships/webSettings" Target="webSettings.xml"/><Relationship Id="rId15" Type="http://schemas.openxmlformats.org/officeDocument/2006/relationships/hyperlink" Target="mailto:sfcitypartnersupport@sfgov.org" TargetMode="External"/><Relationship Id="rId23" Type="http://schemas.openxmlformats.org/officeDocument/2006/relationships/hyperlink" Target="mailto:sfdocs@sfpl.org" TargetMode="External"/><Relationship Id="rId28" Type="http://schemas.openxmlformats.org/officeDocument/2006/relationships/hyperlink" Target="http://www.whitehouse.gov/omb" TargetMode="External"/><Relationship Id="rId10" Type="http://schemas.openxmlformats.org/officeDocument/2006/relationships/footer" Target="footer1.xml"/><Relationship Id="rId19" Type="http://schemas.openxmlformats.org/officeDocument/2006/relationships/hyperlink" Target="http://sfcontroller.org/citywide-nonprofit-monitoring-and-capacity-building-progra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paymode.com/city_countyofsanfrancisco" TargetMode="External"/><Relationship Id="rId22" Type="http://schemas.openxmlformats.org/officeDocument/2006/relationships/hyperlink" Target="mailto:Board.of.Supervisors@sfgov.org" TargetMode="External"/><Relationship Id="rId27" Type="http://schemas.openxmlformats.org/officeDocument/2006/relationships/hyperlink" Target="http://www.sfgov.org/sfhumanrights"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99ABA1-29AD-4445-B64E-71F09D666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31</Pages>
  <Words>11928</Words>
  <Characters>67990</Characters>
  <Application>Microsoft Office Word</Application>
  <DocSecurity>0</DocSecurity>
  <Lines>566</Lines>
  <Paragraphs>159</Paragraphs>
  <ScaleCrop>false</ScaleCrop>
  <HeadingPairs>
    <vt:vector size="2" baseType="variant">
      <vt:variant>
        <vt:lpstr>Title</vt:lpstr>
      </vt:variant>
      <vt:variant>
        <vt:i4>1</vt:i4>
      </vt:variant>
    </vt:vector>
  </HeadingPairs>
  <TitlesOfParts>
    <vt:vector size="1" baseType="lpstr">
      <vt:lpstr>Mayor's Office of Community</vt:lpstr>
    </vt:vector>
  </TitlesOfParts>
  <Company>CCSF</Company>
  <LinksUpToDate>false</LinksUpToDate>
  <CharactersWithSpaces>79759</CharactersWithSpaces>
  <SharedDoc>false</SharedDoc>
  <HLinks>
    <vt:vector size="90" baseType="variant">
      <vt:variant>
        <vt:i4>2687069</vt:i4>
      </vt:variant>
      <vt:variant>
        <vt:i4>42</vt:i4>
      </vt:variant>
      <vt:variant>
        <vt:i4>0</vt:i4>
      </vt:variant>
      <vt:variant>
        <vt:i4>5</vt:i4>
      </vt:variant>
      <vt:variant>
        <vt:lpwstr>http://www.hud.gov/offices/olr/olr_int2.htmlnew.cfm</vt:lpwstr>
      </vt:variant>
      <vt:variant>
        <vt:lpwstr/>
      </vt:variant>
      <vt:variant>
        <vt:i4>2949245</vt:i4>
      </vt:variant>
      <vt:variant>
        <vt:i4>39</vt:i4>
      </vt:variant>
      <vt:variant>
        <vt:i4>0</vt:i4>
      </vt:variant>
      <vt:variant>
        <vt:i4>5</vt:i4>
      </vt:variant>
      <vt:variant>
        <vt:lpwstr>http://www.whitehouse.gov/WH/EOP/OMB/Grantsomb</vt:lpwstr>
      </vt:variant>
      <vt:variant>
        <vt:lpwstr/>
      </vt:variant>
      <vt:variant>
        <vt:i4>2818105</vt:i4>
      </vt:variant>
      <vt:variant>
        <vt:i4>36</vt:i4>
      </vt:variant>
      <vt:variant>
        <vt:i4>0</vt:i4>
      </vt:variant>
      <vt:variant>
        <vt:i4>5</vt:i4>
      </vt:variant>
      <vt:variant>
        <vt:lpwstr>http://www.sfgov.org/sfhumanrights</vt:lpwstr>
      </vt:variant>
      <vt:variant>
        <vt:lpwstr/>
      </vt:variant>
      <vt:variant>
        <vt:i4>196700</vt:i4>
      </vt:variant>
      <vt:variant>
        <vt:i4>33</vt:i4>
      </vt:variant>
      <vt:variant>
        <vt:i4>0</vt:i4>
      </vt:variant>
      <vt:variant>
        <vt:i4>5</vt:i4>
      </vt:variant>
      <vt:variant>
        <vt:lpwstr>http://sfgsa.org/index.aspx?page=379</vt:lpwstr>
      </vt:variant>
      <vt:variant>
        <vt:lpwstr/>
      </vt:variant>
      <vt:variant>
        <vt:i4>3801092</vt:i4>
      </vt:variant>
      <vt:variant>
        <vt:i4>30</vt:i4>
      </vt:variant>
      <vt:variant>
        <vt:i4>0</vt:i4>
      </vt:variant>
      <vt:variant>
        <vt:i4>5</vt:i4>
      </vt:variant>
      <vt:variant>
        <vt:lpwstr>http://www.sfgov.org/site/controller_index.asp?id=28412</vt:lpwstr>
      </vt:variant>
      <vt:variant>
        <vt:lpwstr/>
      </vt:variant>
      <vt:variant>
        <vt:i4>458836</vt:i4>
      </vt:variant>
      <vt:variant>
        <vt:i4>27</vt:i4>
      </vt:variant>
      <vt:variant>
        <vt:i4>0</vt:i4>
      </vt:variant>
      <vt:variant>
        <vt:i4>5</vt:i4>
      </vt:variant>
      <vt:variant>
        <vt:lpwstr>http://www.sfgov.org/controller/whistleblower</vt:lpwstr>
      </vt:variant>
      <vt:variant>
        <vt:lpwstr/>
      </vt:variant>
      <vt:variant>
        <vt:i4>458836</vt:i4>
      </vt:variant>
      <vt:variant>
        <vt:i4>24</vt:i4>
      </vt:variant>
      <vt:variant>
        <vt:i4>0</vt:i4>
      </vt:variant>
      <vt:variant>
        <vt:i4>5</vt:i4>
      </vt:variant>
      <vt:variant>
        <vt:lpwstr>http://www.sfgov.org/controller/whistleblower</vt:lpwstr>
      </vt:variant>
      <vt:variant>
        <vt:lpwstr/>
      </vt:variant>
      <vt:variant>
        <vt:i4>6225948</vt:i4>
      </vt:variant>
      <vt:variant>
        <vt:i4>21</vt:i4>
      </vt:variant>
      <vt:variant>
        <vt:i4>0</vt:i4>
      </vt:variant>
      <vt:variant>
        <vt:i4>5</vt:i4>
      </vt:variant>
      <vt:variant>
        <vt:lpwstr>http://www.sfcontroller.org/Modules/ShowDocument.aspx?documentid=1368</vt:lpwstr>
      </vt:variant>
      <vt:variant>
        <vt:lpwstr/>
      </vt:variant>
      <vt:variant>
        <vt:i4>6291516</vt:i4>
      </vt:variant>
      <vt:variant>
        <vt:i4>18</vt:i4>
      </vt:variant>
      <vt:variant>
        <vt:i4>0</vt:i4>
      </vt:variant>
      <vt:variant>
        <vt:i4>5</vt:i4>
      </vt:variant>
      <vt:variant>
        <vt:lpwstr>http://www.sfcontroller.org/index.aspx?page=792</vt:lpwstr>
      </vt:variant>
      <vt:variant>
        <vt:lpwstr/>
      </vt:variant>
      <vt:variant>
        <vt:i4>6160412</vt:i4>
      </vt:variant>
      <vt:variant>
        <vt:i4>15</vt:i4>
      </vt:variant>
      <vt:variant>
        <vt:i4>0</vt:i4>
      </vt:variant>
      <vt:variant>
        <vt:i4>5</vt:i4>
      </vt:variant>
      <vt:variant>
        <vt:lpwstr>http://www.sfcontroller.org/Modules/ShowDocument.aspx?documentid=1370</vt:lpwstr>
      </vt:variant>
      <vt:variant>
        <vt:lpwstr/>
      </vt:variant>
      <vt:variant>
        <vt:i4>720978</vt:i4>
      </vt:variant>
      <vt:variant>
        <vt:i4>12</vt:i4>
      </vt:variant>
      <vt:variant>
        <vt:i4>0</vt:i4>
      </vt:variant>
      <vt:variant>
        <vt:i4>5</vt:i4>
      </vt:variant>
      <vt:variant>
        <vt:lpwstr>http://sfgsa.org/index.aspx?page=391</vt:lpwstr>
      </vt:variant>
      <vt:variant>
        <vt:lpwstr/>
      </vt:variant>
      <vt:variant>
        <vt:i4>4784195</vt:i4>
      </vt:variant>
      <vt:variant>
        <vt:i4>9</vt:i4>
      </vt:variant>
      <vt:variant>
        <vt:i4>0</vt:i4>
      </vt:variant>
      <vt:variant>
        <vt:i4>5</vt:i4>
      </vt:variant>
      <vt:variant>
        <vt:lpwstr>http://www.sfmohcd.org/modules/showdocument.aspx?documentid=6794</vt:lpwstr>
      </vt:variant>
      <vt:variant>
        <vt:lpwstr/>
      </vt:variant>
      <vt:variant>
        <vt:i4>6291558</vt:i4>
      </vt:variant>
      <vt:variant>
        <vt:i4>6</vt:i4>
      </vt:variant>
      <vt:variant>
        <vt:i4>0</vt:i4>
      </vt:variant>
      <vt:variant>
        <vt:i4>5</vt:i4>
      </vt:variant>
      <vt:variant>
        <vt:lpwstr>http://www.sfgov.org/site/uploadedfiles/sfhumanrights/forms/12b101.pdf</vt:lpwstr>
      </vt:variant>
      <vt:variant>
        <vt:lpwstr/>
      </vt:variant>
      <vt:variant>
        <vt:i4>7077978</vt:i4>
      </vt:variant>
      <vt:variant>
        <vt:i4>3</vt:i4>
      </vt:variant>
      <vt:variant>
        <vt:i4>0</vt:i4>
      </vt:variant>
      <vt:variant>
        <vt:i4>5</vt:i4>
      </vt:variant>
      <vt:variant>
        <vt:lpwstr>http://www.sfgov.org/site/sfhumanrights_page.asp?id=5921</vt:lpwstr>
      </vt:variant>
      <vt:variant>
        <vt:lpwstr/>
      </vt:variant>
      <vt:variant>
        <vt:i4>1507390</vt:i4>
      </vt:variant>
      <vt:variant>
        <vt:i4>0</vt:i4>
      </vt:variant>
      <vt:variant>
        <vt:i4>0</vt:i4>
      </vt:variant>
      <vt:variant>
        <vt:i4>5</vt:i4>
      </vt:variant>
      <vt:variant>
        <vt:lpwstr>http://www.sfgov.org/site/oca_page.asp?id=26550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Mayor's Office of Community</dc:title>
  <dc:subject/>
  <dc:creator>BMcCloskey</dc:creator>
  <cp:keywords/>
  <dc:description/>
  <cp:lastModifiedBy>Stroud, Pierre (MYR)</cp:lastModifiedBy>
  <cp:revision>3</cp:revision>
  <cp:lastPrinted>2020-02-24T23:20:00Z</cp:lastPrinted>
  <dcterms:created xsi:type="dcterms:W3CDTF">2024-05-22T19:58:00Z</dcterms:created>
  <dcterms:modified xsi:type="dcterms:W3CDTF">2024-06-06T23:43:00Z</dcterms:modified>
</cp:coreProperties>
</file>