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XSpec="center" w:tblpY="-903"/>
        <w:tblW w:w="10700" w:type="dxa"/>
        <w:tblLayout w:type="fixed"/>
        <w:tblCellMar>
          <w:left w:w="80" w:type="dxa"/>
          <w:right w:w="80" w:type="dxa"/>
        </w:tblCellMar>
        <w:tblLook w:val="0000" w:firstRow="0" w:lastRow="0" w:firstColumn="0" w:lastColumn="0" w:noHBand="0" w:noVBand="0"/>
      </w:tblPr>
      <w:tblGrid>
        <w:gridCol w:w="2060"/>
        <w:gridCol w:w="8640"/>
      </w:tblGrid>
      <w:tr w:rsidR="00EE573C" w:rsidRPr="005570FC" w14:paraId="5A3F1164" w14:textId="77777777" w:rsidTr="00756092">
        <w:trPr>
          <w:cantSplit/>
          <w:trHeight w:val="1620"/>
        </w:trPr>
        <w:tc>
          <w:tcPr>
            <w:tcW w:w="2060" w:type="dxa"/>
          </w:tcPr>
          <w:p w14:paraId="5BD05861" w14:textId="77777777" w:rsidR="00EE573C" w:rsidRPr="005570FC" w:rsidRDefault="00D73B28" w:rsidP="00756092">
            <w:pPr>
              <w:pStyle w:val="Header"/>
              <w:ind w:left="-180"/>
              <w:jc w:val="center"/>
              <w:rPr>
                <w:rFonts w:asciiTheme="minorHAnsi" w:hAnsiTheme="minorHAnsi" w:cstheme="minorHAnsi"/>
              </w:rPr>
            </w:pPr>
            <w:r w:rsidRPr="005570FC">
              <w:rPr>
                <w:rFonts w:asciiTheme="minorHAnsi" w:hAnsiTheme="minorHAnsi" w:cstheme="minorHAnsi"/>
              </w:rPr>
              <w:object w:dxaOrig="1700" w:dyaOrig="1640" w14:anchorId="0ED0A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82.5pt" o:ole="">
                  <v:imagedata r:id="rId7" o:title=""/>
                </v:shape>
                <o:OLEObject Type="Embed" ProgID="Word.Picture.8" ShapeID="_x0000_i1025" DrawAspect="Content" ObjectID="_1779196763" r:id="rId8"/>
              </w:object>
            </w:r>
          </w:p>
        </w:tc>
        <w:tc>
          <w:tcPr>
            <w:tcW w:w="8640" w:type="dxa"/>
          </w:tcPr>
          <w:p w14:paraId="62DB7437" w14:textId="77777777" w:rsidR="00EE573C" w:rsidRPr="005570FC" w:rsidRDefault="00EE573C" w:rsidP="00756092">
            <w:pPr>
              <w:pStyle w:val="Header"/>
              <w:tabs>
                <w:tab w:val="clear" w:pos="8640"/>
                <w:tab w:val="right" w:pos="6480"/>
              </w:tabs>
              <w:ind w:right="-360"/>
              <w:jc w:val="center"/>
              <w:rPr>
                <w:rFonts w:asciiTheme="minorHAnsi" w:hAnsiTheme="minorHAnsi" w:cstheme="minorHAnsi"/>
              </w:rPr>
            </w:pPr>
          </w:p>
          <w:p w14:paraId="18064497" w14:textId="77777777" w:rsidR="00EE573C" w:rsidRPr="005570FC" w:rsidRDefault="005A1F7A" w:rsidP="00756092">
            <w:pPr>
              <w:pStyle w:val="Header"/>
              <w:rPr>
                <w:rFonts w:asciiTheme="minorHAnsi" w:hAnsiTheme="minorHAnsi" w:cstheme="minorHAnsi"/>
                <w:b/>
                <w:sz w:val="32"/>
              </w:rPr>
            </w:pPr>
            <w:r w:rsidRPr="005570FC">
              <w:rPr>
                <w:rFonts w:asciiTheme="minorHAnsi" w:hAnsiTheme="minorHAnsi" w:cstheme="minorHAnsi"/>
                <w:b/>
                <w:sz w:val="32"/>
              </w:rPr>
              <w:t>Mayor’s Office of Housing and Community Development</w:t>
            </w:r>
          </w:p>
          <w:p w14:paraId="438209D4" w14:textId="77777777" w:rsidR="00EE573C" w:rsidRPr="005570FC" w:rsidRDefault="00EE573C" w:rsidP="00756092">
            <w:pPr>
              <w:pStyle w:val="Heading2"/>
              <w:rPr>
                <w:rFonts w:asciiTheme="minorHAnsi" w:hAnsiTheme="minorHAnsi" w:cstheme="minorHAnsi"/>
              </w:rPr>
            </w:pPr>
          </w:p>
          <w:p w14:paraId="6EBFF3F6" w14:textId="6E457886" w:rsidR="00EE573C" w:rsidRPr="005570FC" w:rsidRDefault="00EE573C" w:rsidP="00756092">
            <w:pPr>
              <w:pStyle w:val="Header"/>
              <w:tabs>
                <w:tab w:val="clear" w:pos="8640"/>
                <w:tab w:val="right" w:pos="6480"/>
              </w:tabs>
              <w:ind w:right="-360"/>
              <w:rPr>
                <w:rFonts w:asciiTheme="minorHAnsi" w:hAnsiTheme="minorHAnsi" w:cstheme="minorHAnsi"/>
                <w:b/>
                <w:bCs/>
                <w:sz w:val="28"/>
                <w:u w:val="single"/>
              </w:rPr>
            </w:pPr>
            <w:r w:rsidRPr="005570FC">
              <w:rPr>
                <w:rFonts w:asciiTheme="minorHAnsi" w:hAnsiTheme="minorHAnsi" w:cstheme="minorHAnsi"/>
                <w:b/>
                <w:bCs/>
                <w:u w:val="single"/>
              </w:rPr>
              <w:t>Checklist</w:t>
            </w:r>
            <w:r w:rsidR="005A1F7A" w:rsidRPr="005570FC">
              <w:rPr>
                <w:rFonts w:asciiTheme="minorHAnsi" w:hAnsiTheme="minorHAnsi" w:cstheme="minorHAnsi"/>
                <w:b/>
                <w:bCs/>
                <w:u w:val="single"/>
              </w:rPr>
              <w:t xml:space="preserve"> of </w:t>
            </w:r>
            <w:r w:rsidR="00081300" w:rsidRPr="005570FC">
              <w:rPr>
                <w:rFonts w:asciiTheme="minorHAnsi" w:hAnsiTheme="minorHAnsi" w:cstheme="minorHAnsi"/>
                <w:b/>
                <w:bCs/>
                <w:u w:val="single"/>
              </w:rPr>
              <w:t>Required</w:t>
            </w:r>
            <w:r w:rsidR="00E750BD" w:rsidRPr="005570FC">
              <w:rPr>
                <w:rFonts w:asciiTheme="minorHAnsi" w:hAnsiTheme="minorHAnsi" w:cstheme="minorHAnsi"/>
                <w:b/>
                <w:bCs/>
                <w:u w:val="single"/>
              </w:rPr>
              <w:t xml:space="preserve"> Documents for</w:t>
            </w:r>
            <w:r w:rsidR="00EA29F5" w:rsidRPr="005570FC">
              <w:rPr>
                <w:rFonts w:asciiTheme="minorHAnsi" w:hAnsiTheme="minorHAnsi" w:cstheme="minorHAnsi"/>
                <w:b/>
                <w:bCs/>
                <w:u w:val="single"/>
              </w:rPr>
              <w:t xml:space="preserve"> 202</w:t>
            </w:r>
            <w:r w:rsidR="006119B0">
              <w:rPr>
                <w:rFonts w:asciiTheme="minorHAnsi" w:hAnsiTheme="minorHAnsi" w:cstheme="minorHAnsi"/>
                <w:b/>
                <w:bCs/>
                <w:u w:val="single"/>
              </w:rPr>
              <w:t>4</w:t>
            </w:r>
            <w:r w:rsidR="00EA29F5" w:rsidRPr="005570FC">
              <w:rPr>
                <w:rFonts w:asciiTheme="minorHAnsi" w:hAnsiTheme="minorHAnsi" w:cstheme="minorHAnsi"/>
                <w:b/>
                <w:bCs/>
                <w:u w:val="single"/>
              </w:rPr>
              <w:t>-202</w:t>
            </w:r>
            <w:r w:rsidR="006119B0">
              <w:rPr>
                <w:rFonts w:asciiTheme="minorHAnsi" w:hAnsiTheme="minorHAnsi" w:cstheme="minorHAnsi"/>
                <w:b/>
                <w:bCs/>
                <w:u w:val="single"/>
              </w:rPr>
              <w:t>5</w:t>
            </w:r>
            <w:r w:rsidRPr="005570FC">
              <w:rPr>
                <w:rFonts w:asciiTheme="minorHAnsi" w:hAnsiTheme="minorHAnsi" w:cstheme="minorHAnsi"/>
                <w:b/>
                <w:bCs/>
                <w:u w:val="single"/>
              </w:rPr>
              <w:t xml:space="preserve"> Grantees</w:t>
            </w:r>
          </w:p>
          <w:p w14:paraId="54FF1E6D" w14:textId="77777777" w:rsidR="00EE573C" w:rsidRPr="005570FC" w:rsidRDefault="00EE573C" w:rsidP="00756092">
            <w:pPr>
              <w:pStyle w:val="Header"/>
              <w:tabs>
                <w:tab w:val="clear" w:pos="8640"/>
                <w:tab w:val="right" w:pos="6480"/>
              </w:tabs>
              <w:ind w:right="-360"/>
              <w:rPr>
                <w:rFonts w:asciiTheme="minorHAnsi" w:hAnsiTheme="minorHAnsi" w:cstheme="minorHAnsi"/>
              </w:rPr>
            </w:pPr>
          </w:p>
        </w:tc>
      </w:tr>
    </w:tbl>
    <w:p w14:paraId="408B0258" w14:textId="77777777" w:rsidR="00CC598A" w:rsidRPr="005570FC" w:rsidRDefault="00CC598A" w:rsidP="00EE573C">
      <w:pPr>
        <w:rPr>
          <w:rStyle w:val="Hyperlink"/>
          <w:rFonts w:asciiTheme="minorHAnsi" w:hAnsiTheme="minorHAnsi" w:cstheme="minorHAnsi"/>
          <w:color w:val="auto"/>
          <w:u w:val="none"/>
        </w:rPr>
      </w:pPr>
    </w:p>
    <w:p w14:paraId="2FE5BBB8" w14:textId="7036B38F" w:rsidR="00EE573C" w:rsidRPr="005570FC" w:rsidRDefault="00C24AE2" w:rsidP="00EE573C">
      <w:pPr>
        <w:rPr>
          <w:rFonts w:asciiTheme="minorHAnsi" w:hAnsiTheme="minorHAnsi" w:cstheme="minorHAnsi"/>
        </w:rPr>
      </w:pPr>
      <w:r w:rsidRPr="005570FC">
        <w:rPr>
          <w:rStyle w:val="Hyperlink"/>
          <w:rFonts w:asciiTheme="minorHAnsi" w:hAnsiTheme="minorHAnsi" w:cstheme="minorHAnsi"/>
          <w:color w:val="auto"/>
          <w:u w:val="none"/>
        </w:rPr>
        <w:t xml:space="preserve">Please upload these documents onto GMS – “Agency Docs.”  </w:t>
      </w:r>
      <w:r w:rsidR="00EA29F5" w:rsidRPr="005570FC">
        <w:rPr>
          <w:rStyle w:val="Hyperlink"/>
          <w:rFonts w:asciiTheme="minorHAnsi" w:hAnsiTheme="minorHAnsi" w:cstheme="minorHAnsi"/>
          <w:color w:val="auto"/>
          <w:u w:val="none"/>
        </w:rPr>
        <w:t>First, select the 202</w:t>
      </w:r>
      <w:r w:rsidR="006119B0">
        <w:rPr>
          <w:rStyle w:val="Hyperlink"/>
          <w:rFonts w:asciiTheme="minorHAnsi" w:hAnsiTheme="minorHAnsi" w:cstheme="minorHAnsi"/>
          <w:color w:val="auto"/>
          <w:u w:val="none"/>
        </w:rPr>
        <w:t>4</w:t>
      </w:r>
      <w:r w:rsidR="00EA29F5" w:rsidRPr="005570FC">
        <w:rPr>
          <w:rStyle w:val="Hyperlink"/>
          <w:rFonts w:asciiTheme="minorHAnsi" w:hAnsiTheme="minorHAnsi" w:cstheme="minorHAnsi"/>
          <w:color w:val="auto"/>
          <w:u w:val="none"/>
        </w:rPr>
        <w:t>-2</w:t>
      </w:r>
      <w:r w:rsidR="006119B0">
        <w:rPr>
          <w:rStyle w:val="Hyperlink"/>
          <w:rFonts w:asciiTheme="minorHAnsi" w:hAnsiTheme="minorHAnsi" w:cstheme="minorHAnsi"/>
          <w:color w:val="auto"/>
          <w:u w:val="none"/>
        </w:rPr>
        <w:t>5</w:t>
      </w:r>
      <w:r w:rsidR="00697B3F" w:rsidRPr="005570FC">
        <w:rPr>
          <w:rStyle w:val="Hyperlink"/>
          <w:rFonts w:asciiTheme="minorHAnsi" w:hAnsiTheme="minorHAnsi" w:cstheme="minorHAnsi"/>
          <w:color w:val="auto"/>
          <w:u w:val="none"/>
        </w:rPr>
        <w:t xml:space="preserve"> Project Year from the Agency Projects form.  Then select Agency Docs –</w:t>
      </w:r>
      <w:r w:rsidR="00EA29F5" w:rsidRPr="005570FC">
        <w:rPr>
          <w:rStyle w:val="Hyperlink"/>
          <w:rFonts w:asciiTheme="minorHAnsi" w:hAnsiTheme="minorHAnsi" w:cstheme="minorHAnsi"/>
          <w:color w:val="auto"/>
          <w:u w:val="none"/>
        </w:rPr>
        <w:t xml:space="preserve"> this will bring you to the 202</w:t>
      </w:r>
      <w:r w:rsidR="006119B0">
        <w:rPr>
          <w:rStyle w:val="Hyperlink"/>
          <w:rFonts w:asciiTheme="minorHAnsi" w:hAnsiTheme="minorHAnsi" w:cstheme="minorHAnsi"/>
          <w:color w:val="auto"/>
          <w:u w:val="none"/>
        </w:rPr>
        <w:t>4</w:t>
      </w:r>
      <w:r w:rsidR="00EA29F5" w:rsidRPr="005570FC">
        <w:rPr>
          <w:rStyle w:val="Hyperlink"/>
          <w:rFonts w:asciiTheme="minorHAnsi" w:hAnsiTheme="minorHAnsi" w:cstheme="minorHAnsi"/>
          <w:color w:val="auto"/>
          <w:u w:val="none"/>
        </w:rPr>
        <w:t>-2</w:t>
      </w:r>
      <w:r w:rsidR="006119B0">
        <w:rPr>
          <w:rStyle w:val="Hyperlink"/>
          <w:rFonts w:asciiTheme="minorHAnsi" w:hAnsiTheme="minorHAnsi" w:cstheme="minorHAnsi"/>
          <w:color w:val="auto"/>
          <w:u w:val="none"/>
        </w:rPr>
        <w:t>5</w:t>
      </w:r>
      <w:r w:rsidR="00697B3F" w:rsidRPr="005570FC">
        <w:rPr>
          <w:rStyle w:val="Hyperlink"/>
          <w:rFonts w:asciiTheme="minorHAnsi" w:hAnsiTheme="minorHAnsi" w:cstheme="minorHAnsi"/>
          <w:color w:val="auto"/>
          <w:u w:val="none"/>
        </w:rPr>
        <w:t xml:space="preserve"> Agency Docs form.  </w:t>
      </w:r>
    </w:p>
    <w:p w14:paraId="1B5F3BD7" w14:textId="77777777" w:rsidR="00EE573C" w:rsidRPr="005570FC" w:rsidRDefault="00EE573C" w:rsidP="005570FC">
      <w:pPr>
        <w:rPr>
          <w:rFonts w:asciiTheme="minorHAnsi" w:hAnsiTheme="minorHAnsi" w:cstheme="minorHAnsi"/>
          <w:b/>
          <w:bCs/>
          <w:sz w:val="28"/>
          <w:szCs w:val="28"/>
          <w:u w:val="single"/>
        </w:rPr>
      </w:pPr>
    </w:p>
    <w:p w14:paraId="2F877136" w14:textId="77777777" w:rsidR="00FE71EF" w:rsidRPr="005570FC" w:rsidRDefault="00FE71EF" w:rsidP="005570FC">
      <w:pPr>
        <w:pStyle w:val="ListParagraph"/>
        <w:numPr>
          <w:ilvl w:val="0"/>
          <w:numId w:val="8"/>
        </w:numPr>
        <w:rPr>
          <w:rFonts w:asciiTheme="minorHAnsi" w:hAnsiTheme="minorHAnsi" w:cstheme="minorHAnsi"/>
          <w:b/>
          <w:bCs/>
          <w:sz w:val="28"/>
          <w:szCs w:val="28"/>
          <w:u w:val="single"/>
        </w:rPr>
      </w:pPr>
      <w:r w:rsidRPr="005570FC">
        <w:rPr>
          <w:rFonts w:asciiTheme="minorHAnsi" w:hAnsiTheme="minorHAnsi" w:cstheme="minorHAnsi"/>
          <w:b/>
          <w:bCs/>
          <w:sz w:val="28"/>
          <w:szCs w:val="28"/>
        </w:rPr>
        <w:t>Audit</w:t>
      </w:r>
      <w:r w:rsidR="005570FC" w:rsidRPr="005570FC">
        <w:rPr>
          <w:rFonts w:asciiTheme="minorHAnsi" w:hAnsiTheme="minorHAnsi" w:cstheme="minorHAnsi"/>
          <w:b/>
          <w:bCs/>
          <w:sz w:val="28"/>
          <w:szCs w:val="28"/>
        </w:rPr>
        <w:t xml:space="preserve">s - </w:t>
      </w:r>
      <w:r w:rsidRPr="005570FC">
        <w:rPr>
          <w:rFonts w:asciiTheme="minorHAnsi" w:hAnsiTheme="minorHAnsi" w:cstheme="minorHAnsi"/>
          <w:b/>
          <w:bCs/>
          <w:sz w:val="28"/>
          <w:szCs w:val="28"/>
        </w:rPr>
        <w:t xml:space="preserve"> Levels and Thresholds:</w:t>
      </w:r>
    </w:p>
    <w:p w14:paraId="7A0EF0BE" w14:textId="77777777" w:rsidR="00FE71EF" w:rsidRPr="005570FC" w:rsidRDefault="00FE71EF" w:rsidP="00FE71EF">
      <w:pPr>
        <w:pStyle w:val="BodyTextIndent"/>
        <w:numPr>
          <w:ilvl w:val="0"/>
          <w:numId w:val="7"/>
        </w:numPr>
        <w:rPr>
          <w:rFonts w:asciiTheme="minorHAnsi" w:hAnsiTheme="minorHAnsi" w:cstheme="minorHAnsi"/>
          <w:bCs/>
          <w:sz w:val="22"/>
          <w:szCs w:val="22"/>
          <w:u w:val="single"/>
        </w:rPr>
      </w:pPr>
      <w:r w:rsidRPr="005570FC">
        <w:rPr>
          <w:rFonts w:asciiTheme="minorHAnsi" w:hAnsiTheme="minorHAnsi" w:cstheme="minorHAnsi"/>
          <w:sz w:val="22"/>
          <w:szCs w:val="22"/>
          <w:u w:val="single"/>
        </w:rPr>
        <w:t>An OMB A-133 audit is required if agency expended more than the threshold amount of $750,000 or more of federal funds in the fiscal year being audited.</w:t>
      </w:r>
    </w:p>
    <w:p w14:paraId="2A3697D8" w14:textId="77777777" w:rsidR="00FE71EF" w:rsidRPr="005570FC" w:rsidRDefault="00FE71EF" w:rsidP="00FE71EF">
      <w:pPr>
        <w:pStyle w:val="BodyTextIndent"/>
        <w:ind w:firstLine="0"/>
        <w:rPr>
          <w:rFonts w:asciiTheme="minorHAnsi" w:hAnsiTheme="minorHAnsi" w:cstheme="minorHAnsi"/>
          <w:sz w:val="22"/>
          <w:szCs w:val="22"/>
        </w:rPr>
      </w:pPr>
    </w:p>
    <w:p w14:paraId="0B6C05D3" w14:textId="77777777" w:rsidR="00FE71EF" w:rsidRPr="005570FC" w:rsidRDefault="00FE71EF" w:rsidP="00FE71EF">
      <w:pPr>
        <w:pStyle w:val="BodyTextIndent"/>
        <w:numPr>
          <w:ilvl w:val="0"/>
          <w:numId w:val="7"/>
        </w:numPr>
        <w:rPr>
          <w:rFonts w:asciiTheme="minorHAnsi" w:hAnsiTheme="minorHAnsi" w:cstheme="minorHAnsi"/>
          <w:sz w:val="22"/>
          <w:szCs w:val="22"/>
        </w:rPr>
      </w:pPr>
      <w:r w:rsidRPr="005570FC">
        <w:rPr>
          <w:rFonts w:asciiTheme="minorHAnsi" w:hAnsiTheme="minorHAnsi" w:cstheme="minorHAnsi"/>
          <w:sz w:val="22"/>
          <w:szCs w:val="22"/>
          <w:u w:val="single"/>
        </w:rPr>
        <w:t xml:space="preserve">A Standard CPA audit is required for agencies with a total budget over $500,000 in the year being audited.  </w:t>
      </w:r>
      <w:r w:rsidRPr="005570FC">
        <w:rPr>
          <w:rFonts w:asciiTheme="minorHAnsi" w:hAnsiTheme="minorHAnsi" w:cstheme="minorHAnsi"/>
          <w:b w:val="0"/>
          <w:bCs/>
          <w:sz w:val="22"/>
          <w:szCs w:val="22"/>
        </w:rPr>
        <w:t>This must be</w:t>
      </w:r>
      <w:r w:rsidRPr="005570FC">
        <w:rPr>
          <w:rFonts w:asciiTheme="minorHAnsi" w:hAnsiTheme="minorHAnsi" w:cstheme="minorHAnsi"/>
          <w:sz w:val="22"/>
          <w:szCs w:val="22"/>
        </w:rPr>
        <w:t xml:space="preserve"> </w:t>
      </w:r>
      <w:r w:rsidRPr="005570FC">
        <w:rPr>
          <w:rFonts w:asciiTheme="minorHAnsi" w:hAnsiTheme="minorHAnsi" w:cstheme="minorHAnsi"/>
          <w:b w:val="0"/>
          <w:bCs/>
          <w:sz w:val="22"/>
          <w:szCs w:val="22"/>
        </w:rPr>
        <w:t>accompanied by letter stating that an OMB A-133 Audit is not required, because the agency expended less than $750,000 in federal funds during the year being audited. The dates on the exemption letter must be consistent with the dates of the year being audited, and it must be on agency letterhead and signed by the Executive Director.  A template/sample letter is available.</w:t>
      </w:r>
    </w:p>
    <w:p w14:paraId="4A2826A6" w14:textId="77777777" w:rsidR="00FE71EF" w:rsidRPr="005570FC" w:rsidRDefault="00FE71EF" w:rsidP="00FE71EF">
      <w:pPr>
        <w:pStyle w:val="BodyTextIndent"/>
        <w:ind w:left="0" w:firstLine="0"/>
        <w:rPr>
          <w:rFonts w:asciiTheme="minorHAnsi" w:hAnsiTheme="minorHAnsi" w:cstheme="minorHAnsi"/>
          <w:sz w:val="22"/>
          <w:szCs w:val="22"/>
        </w:rPr>
      </w:pPr>
    </w:p>
    <w:p w14:paraId="015F9496" w14:textId="77777777" w:rsidR="00FE71EF" w:rsidRPr="005570FC" w:rsidRDefault="00FE71EF" w:rsidP="00FE71EF">
      <w:pPr>
        <w:pStyle w:val="BodyTextIndent"/>
        <w:numPr>
          <w:ilvl w:val="0"/>
          <w:numId w:val="7"/>
        </w:numPr>
        <w:rPr>
          <w:rFonts w:asciiTheme="minorHAnsi" w:hAnsiTheme="minorHAnsi" w:cstheme="minorHAnsi"/>
          <w:sz w:val="22"/>
          <w:szCs w:val="22"/>
          <w:u w:val="single"/>
        </w:rPr>
      </w:pPr>
      <w:r w:rsidRPr="005570FC">
        <w:rPr>
          <w:rFonts w:asciiTheme="minorHAnsi" w:hAnsiTheme="minorHAnsi" w:cstheme="minorHAnsi"/>
          <w:sz w:val="22"/>
          <w:szCs w:val="22"/>
          <w:u w:val="single"/>
        </w:rPr>
        <w:t>A CPA Financial Review is allowed in place of the Standard CPA Audit if the agency had a total budget between $250,000 and $500,000 in the year being audited</w:t>
      </w:r>
      <w:r w:rsidRPr="005570FC">
        <w:rPr>
          <w:rFonts w:asciiTheme="minorHAnsi" w:hAnsiTheme="minorHAnsi" w:cstheme="minorHAnsi"/>
          <w:b w:val="0"/>
          <w:bCs/>
          <w:sz w:val="22"/>
          <w:szCs w:val="22"/>
        </w:rPr>
        <w:t>.  This must be accompanied by a letter stating that a</w:t>
      </w:r>
      <w:r w:rsidR="00A709DF">
        <w:rPr>
          <w:rFonts w:asciiTheme="minorHAnsi" w:hAnsiTheme="minorHAnsi" w:cstheme="minorHAnsi"/>
          <w:b w:val="0"/>
          <w:bCs/>
          <w:sz w:val="22"/>
          <w:szCs w:val="22"/>
        </w:rPr>
        <w:t>n</w:t>
      </w:r>
      <w:r w:rsidRPr="005570FC">
        <w:rPr>
          <w:rFonts w:asciiTheme="minorHAnsi" w:hAnsiTheme="minorHAnsi" w:cstheme="minorHAnsi"/>
          <w:b w:val="0"/>
          <w:bCs/>
          <w:sz w:val="22"/>
          <w:szCs w:val="22"/>
        </w:rPr>
        <w:t xml:space="preserve"> OMB A-133 Audit is not required because agency expended less than $750,000 in the year being audited.  The dates on the exemption letter must be consistent with the dates of the year being audited, and it must be on agency letterhead and signed by the Executive Director.  A template/sample letter is available.</w:t>
      </w:r>
    </w:p>
    <w:p w14:paraId="4AD3EFA5" w14:textId="77777777" w:rsidR="00FE71EF" w:rsidRPr="005570FC" w:rsidRDefault="00FE71EF" w:rsidP="00FE71EF">
      <w:pPr>
        <w:pStyle w:val="ListParagraph"/>
        <w:rPr>
          <w:rFonts w:asciiTheme="minorHAnsi" w:hAnsiTheme="minorHAnsi" w:cstheme="minorHAnsi"/>
          <w:b/>
          <w:bCs/>
        </w:rPr>
      </w:pPr>
    </w:p>
    <w:p w14:paraId="3F9D6CC7" w14:textId="77777777" w:rsidR="00FE71EF" w:rsidRPr="005570FC" w:rsidRDefault="00FE71EF" w:rsidP="00FE71EF">
      <w:pPr>
        <w:pStyle w:val="BodyTextIndent"/>
        <w:numPr>
          <w:ilvl w:val="0"/>
          <w:numId w:val="7"/>
        </w:numPr>
        <w:rPr>
          <w:rFonts w:asciiTheme="minorHAnsi" w:hAnsiTheme="minorHAnsi" w:cstheme="minorHAnsi"/>
          <w:bCs/>
          <w:sz w:val="22"/>
          <w:szCs w:val="22"/>
        </w:rPr>
      </w:pPr>
      <w:r w:rsidRPr="005570FC">
        <w:rPr>
          <w:rFonts w:asciiTheme="minorHAnsi" w:hAnsiTheme="minorHAnsi" w:cstheme="minorHAnsi"/>
          <w:b w:val="0"/>
          <w:bCs/>
          <w:sz w:val="22"/>
          <w:szCs w:val="22"/>
        </w:rPr>
        <w:t>If the total Agency Global Budget for the previous fiscal year is less than $250,000, then the agency is exempt from the audit/financial review requirements.  The agency must submit a letter stating its global budget for the previous fiscal year was less than $250,000 on agency letterhead and signed by the Executive Director.</w:t>
      </w:r>
    </w:p>
    <w:p w14:paraId="1562D973" w14:textId="77777777" w:rsidR="003E03F3" w:rsidRPr="005570FC" w:rsidRDefault="003E03F3" w:rsidP="00EE573C">
      <w:pPr>
        <w:pStyle w:val="BodyTextIndent"/>
        <w:rPr>
          <w:rFonts w:asciiTheme="minorHAnsi" w:hAnsiTheme="minorHAnsi" w:cstheme="minorHAnsi"/>
          <w:bCs/>
          <w:sz w:val="22"/>
        </w:rPr>
      </w:pPr>
    </w:p>
    <w:p w14:paraId="0C3CCB60" w14:textId="77777777" w:rsidR="005570FC" w:rsidRPr="005570FC" w:rsidRDefault="005570FC" w:rsidP="005570FC">
      <w:pPr>
        <w:pStyle w:val="BodyTextIndent"/>
        <w:rPr>
          <w:rFonts w:asciiTheme="minorHAnsi" w:hAnsiTheme="minorHAnsi" w:cstheme="minorHAnsi"/>
          <w:sz w:val="28"/>
          <w:szCs w:val="28"/>
        </w:rPr>
      </w:pPr>
      <w:r w:rsidRPr="005570FC">
        <w:rPr>
          <w:rFonts w:asciiTheme="minorHAnsi" w:hAnsiTheme="minorHAnsi" w:cstheme="minorHAnsi"/>
          <w:sz w:val="28"/>
          <w:szCs w:val="28"/>
        </w:rPr>
        <w:t>Audit dates and deadlines:</w:t>
      </w:r>
    </w:p>
    <w:p w14:paraId="1352D701" w14:textId="612C1889" w:rsidR="005570FC" w:rsidRPr="005570FC" w:rsidRDefault="005570FC" w:rsidP="005570FC">
      <w:pPr>
        <w:pStyle w:val="ListParagraph"/>
        <w:numPr>
          <w:ilvl w:val="0"/>
          <w:numId w:val="7"/>
        </w:numPr>
        <w:rPr>
          <w:rFonts w:asciiTheme="minorHAnsi" w:eastAsia="Times New Roman" w:hAnsiTheme="minorHAnsi" w:cstheme="minorHAnsi"/>
        </w:rPr>
      </w:pPr>
      <w:r w:rsidRPr="005570FC">
        <w:rPr>
          <w:rFonts w:asciiTheme="minorHAnsi" w:eastAsia="Times New Roman" w:hAnsiTheme="minorHAnsi" w:cstheme="minorHAnsi"/>
          <w:b/>
          <w:bCs/>
          <w:u w:val="single"/>
        </w:rPr>
        <w:t>Fiscal Year Audits (7/1/2</w:t>
      </w:r>
      <w:r w:rsidR="006119B0">
        <w:rPr>
          <w:rFonts w:asciiTheme="minorHAnsi" w:eastAsia="Times New Roman" w:hAnsiTheme="minorHAnsi" w:cstheme="minorHAnsi"/>
          <w:b/>
          <w:bCs/>
          <w:u w:val="single"/>
        </w:rPr>
        <w:t xml:space="preserve">2 </w:t>
      </w:r>
      <w:r w:rsidRPr="005570FC">
        <w:rPr>
          <w:rFonts w:asciiTheme="minorHAnsi" w:eastAsia="Times New Roman" w:hAnsiTheme="minorHAnsi" w:cstheme="minorHAnsi"/>
          <w:b/>
          <w:bCs/>
          <w:u w:val="single"/>
        </w:rPr>
        <w:t>-</w:t>
      </w:r>
      <w:r w:rsidR="006119B0">
        <w:rPr>
          <w:rFonts w:asciiTheme="minorHAnsi" w:eastAsia="Times New Roman" w:hAnsiTheme="minorHAnsi" w:cstheme="minorHAnsi"/>
          <w:b/>
          <w:bCs/>
          <w:u w:val="single"/>
        </w:rPr>
        <w:t xml:space="preserve"> </w:t>
      </w:r>
      <w:r w:rsidRPr="005570FC">
        <w:rPr>
          <w:rFonts w:asciiTheme="minorHAnsi" w:eastAsia="Times New Roman" w:hAnsiTheme="minorHAnsi" w:cstheme="minorHAnsi"/>
          <w:b/>
          <w:bCs/>
          <w:u w:val="single"/>
        </w:rPr>
        <w:t>6/30/2</w:t>
      </w:r>
      <w:r w:rsidR="006119B0">
        <w:rPr>
          <w:rFonts w:asciiTheme="minorHAnsi" w:eastAsia="Times New Roman" w:hAnsiTheme="minorHAnsi" w:cstheme="minorHAnsi"/>
          <w:b/>
          <w:bCs/>
          <w:u w:val="single"/>
        </w:rPr>
        <w:t>3</w:t>
      </w:r>
      <w:r w:rsidRPr="005570FC">
        <w:rPr>
          <w:rFonts w:asciiTheme="minorHAnsi" w:eastAsia="Times New Roman" w:hAnsiTheme="minorHAnsi" w:cstheme="minorHAnsi"/>
          <w:b/>
          <w:bCs/>
          <w:u w:val="single"/>
        </w:rPr>
        <w:t>) should have been completed by March 31, 202</w:t>
      </w:r>
      <w:r w:rsidR="006119B0">
        <w:rPr>
          <w:rFonts w:asciiTheme="minorHAnsi" w:eastAsia="Times New Roman" w:hAnsiTheme="minorHAnsi" w:cstheme="minorHAnsi"/>
          <w:b/>
          <w:bCs/>
          <w:u w:val="single"/>
        </w:rPr>
        <w:t>4</w:t>
      </w:r>
      <w:r w:rsidRPr="005570FC">
        <w:rPr>
          <w:rFonts w:asciiTheme="minorHAnsi" w:eastAsia="Times New Roman" w:hAnsiTheme="minorHAnsi" w:cstheme="minorHAnsi"/>
          <w:b/>
          <w:bCs/>
          <w:u w:val="single"/>
        </w:rPr>
        <w:t>.</w:t>
      </w:r>
      <w:r w:rsidRPr="005570FC">
        <w:rPr>
          <w:rFonts w:asciiTheme="minorHAnsi" w:eastAsia="Times New Roman" w:hAnsiTheme="minorHAnsi" w:cstheme="minorHAnsi"/>
        </w:rPr>
        <w:t>  If your agency does not yet have a completed audit, please ensure that you have a signed engagement letter with an audit firm for th</w:t>
      </w:r>
      <w:r w:rsidR="00F97B99">
        <w:rPr>
          <w:rFonts w:asciiTheme="minorHAnsi" w:eastAsia="Times New Roman" w:hAnsiTheme="minorHAnsi" w:cstheme="minorHAnsi"/>
        </w:rPr>
        <w:t>e required</w:t>
      </w:r>
      <w:r w:rsidRPr="005570FC">
        <w:rPr>
          <w:rFonts w:asciiTheme="minorHAnsi" w:eastAsia="Times New Roman" w:hAnsiTheme="minorHAnsi" w:cstheme="minorHAnsi"/>
        </w:rPr>
        <w:t xml:space="preserve"> year, and are able to provide a detailed timeline for when th</w:t>
      </w:r>
      <w:r w:rsidR="00F97B99">
        <w:rPr>
          <w:rFonts w:asciiTheme="minorHAnsi" w:eastAsia="Times New Roman" w:hAnsiTheme="minorHAnsi" w:cstheme="minorHAnsi"/>
        </w:rPr>
        <w:t>at</w:t>
      </w:r>
      <w:r w:rsidRPr="005570FC">
        <w:rPr>
          <w:rFonts w:asciiTheme="minorHAnsi" w:eastAsia="Times New Roman" w:hAnsiTheme="minorHAnsi" w:cstheme="minorHAnsi"/>
        </w:rPr>
        <w:t xml:space="preserve"> audit will be completed.  Incomplete audits for this fiscal year result in delays in both contracting and reimbursement, and must be completed as soon as possible in order for invoices to be reimbursed.</w:t>
      </w:r>
    </w:p>
    <w:p w14:paraId="6C0EEC85" w14:textId="77777777" w:rsidR="005570FC" w:rsidRPr="005570FC" w:rsidRDefault="005570FC" w:rsidP="005570FC">
      <w:pPr>
        <w:rPr>
          <w:rFonts w:asciiTheme="minorHAnsi" w:eastAsiaTheme="minorHAnsi" w:hAnsiTheme="minorHAnsi" w:cstheme="minorHAnsi"/>
          <w:b/>
          <w:bCs/>
        </w:rPr>
      </w:pPr>
    </w:p>
    <w:p w14:paraId="13949C23" w14:textId="711D7999" w:rsidR="005570FC" w:rsidRPr="005570FC" w:rsidRDefault="005570FC" w:rsidP="005570FC">
      <w:pPr>
        <w:pStyle w:val="ListParagraph"/>
        <w:numPr>
          <w:ilvl w:val="0"/>
          <w:numId w:val="7"/>
        </w:numPr>
        <w:rPr>
          <w:rFonts w:asciiTheme="minorHAnsi" w:eastAsia="Times New Roman" w:hAnsiTheme="minorHAnsi" w:cstheme="minorHAnsi"/>
        </w:rPr>
      </w:pPr>
      <w:r w:rsidRPr="005570FC">
        <w:rPr>
          <w:rFonts w:asciiTheme="minorHAnsi" w:eastAsia="Times New Roman" w:hAnsiTheme="minorHAnsi" w:cstheme="minorHAnsi"/>
          <w:b/>
          <w:bCs/>
          <w:u w:val="single"/>
        </w:rPr>
        <w:t>Calendar Year Audits (1/1/2</w:t>
      </w:r>
      <w:r w:rsidR="006119B0">
        <w:rPr>
          <w:rFonts w:asciiTheme="minorHAnsi" w:eastAsia="Times New Roman" w:hAnsiTheme="minorHAnsi" w:cstheme="minorHAnsi"/>
          <w:b/>
          <w:bCs/>
          <w:u w:val="single"/>
        </w:rPr>
        <w:t xml:space="preserve">2 </w:t>
      </w:r>
      <w:r w:rsidRPr="005570FC">
        <w:rPr>
          <w:rFonts w:asciiTheme="minorHAnsi" w:eastAsia="Times New Roman" w:hAnsiTheme="minorHAnsi" w:cstheme="minorHAnsi"/>
          <w:b/>
          <w:bCs/>
          <w:u w:val="single"/>
        </w:rPr>
        <w:t>-</w:t>
      </w:r>
      <w:r w:rsidR="006119B0">
        <w:rPr>
          <w:rFonts w:asciiTheme="minorHAnsi" w:eastAsia="Times New Roman" w:hAnsiTheme="minorHAnsi" w:cstheme="minorHAnsi"/>
          <w:b/>
          <w:bCs/>
          <w:u w:val="single"/>
        </w:rPr>
        <w:t xml:space="preserve"> </w:t>
      </w:r>
      <w:r w:rsidRPr="005570FC">
        <w:rPr>
          <w:rFonts w:asciiTheme="minorHAnsi" w:eastAsia="Times New Roman" w:hAnsiTheme="minorHAnsi" w:cstheme="minorHAnsi"/>
          <w:b/>
          <w:bCs/>
          <w:u w:val="single"/>
        </w:rPr>
        <w:t>12/31/2</w:t>
      </w:r>
      <w:r w:rsidR="006119B0">
        <w:rPr>
          <w:rFonts w:asciiTheme="minorHAnsi" w:eastAsia="Times New Roman" w:hAnsiTheme="minorHAnsi" w:cstheme="minorHAnsi"/>
          <w:b/>
          <w:bCs/>
          <w:u w:val="single"/>
        </w:rPr>
        <w:t>2</w:t>
      </w:r>
      <w:r w:rsidRPr="005570FC">
        <w:rPr>
          <w:rFonts w:asciiTheme="minorHAnsi" w:eastAsia="Times New Roman" w:hAnsiTheme="minorHAnsi" w:cstheme="minorHAnsi"/>
          <w:b/>
          <w:bCs/>
          <w:u w:val="single"/>
        </w:rPr>
        <w:t>) should have been completed by September 30, 202</w:t>
      </w:r>
      <w:r w:rsidR="006119B0">
        <w:rPr>
          <w:rFonts w:asciiTheme="minorHAnsi" w:eastAsia="Times New Roman" w:hAnsiTheme="minorHAnsi" w:cstheme="minorHAnsi"/>
          <w:b/>
          <w:bCs/>
          <w:u w:val="single"/>
        </w:rPr>
        <w:t>3</w:t>
      </w:r>
      <w:r w:rsidRPr="005570FC">
        <w:rPr>
          <w:rFonts w:asciiTheme="minorHAnsi" w:eastAsia="Times New Roman" w:hAnsiTheme="minorHAnsi" w:cstheme="minorHAnsi"/>
          <w:b/>
          <w:bCs/>
          <w:u w:val="single"/>
        </w:rPr>
        <w:t>.</w:t>
      </w:r>
      <w:r w:rsidRPr="005570FC">
        <w:rPr>
          <w:rFonts w:asciiTheme="minorHAnsi" w:eastAsia="Times New Roman" w:hAnsiTheme="minorHAnsi" w:cstheme="minorHAnsi"/>
        </w:rPr>
        <w:t>  Calendar Year 202</w:t>
      </w:r>
      <w:r w:rsidR="006119B0">
        <w:rPr>
          <w:rFonts w:asciiTheme="minorHAnsi" w:eastAsia="Times New Roman" w:hAnsiTheme="minorHAnsi" w:cstheme="minorHAnsi"/>
        </w:rPr>
        <w:t>3</w:t>
      </w:r>
      <w:r w:rsidRPr="005570FC">
        <w:rPr>
          <w:rFonts w:asciiTheme="minorHAnsi" w:eastAsia="Times New Roman" w:hAnsiTheme="minorHAnsi" w:cstheme="minorHAnsi"/>
        </w:rPr>
        <w:t xml:space="preserve"> (1/1/2</w:t>
      </w:r>
      <w:r w:rsidR="006119B0">
        <w:rPr>
          <w:rFonts w:asciiTheme="minorHAnsi" w:eastAsia="Times New Roman" w:hAnsiTheme="minorHAnsi" w:cstheme="minorHAnsi"/>
        </w:rPr>
        <w:t>3</w:t>
      </w:r>
      <w:r w:rsidRPr="005570FC">
        <w:rPr>
          <w:rFonts w:asciiTheme="minorHAnsi" w:eastAsia="Times New Roman" w:hAnsiTheme="minorHAnsi" w:cstheme="minorHAnsi"/>
        </w:rPr>
        <w:t>– 12/31/2</w:t>
      </w:r>
      <w:r w:rsidR="006119B0">
        <w:rPr>
          <w:rFonts w:asciiTheme="minorHAnsi" w:eastAsia="Times New Roman" w:hAnsiTheme="minorHAnsi" w:cstheme="minorHAnsi"/>
        </w:rPr>
        <w:t>4</w:t>
      </w:r>
      <w:r w:rsidRPr="005570FC">
        <w:rPr>
          <w:rFonts w:asciiTheme="minorHAnsi" w:eastAsia="Times New Roman" w:hAnsiTheme="minorHAnsi" w:cstheme="minorHAnsi"/>
        </w:rPr>
        <w:t>) audits should be completed by September 30, 202</w:t>
      </w:r>
      <w:r w:rsidR="006119B0">
        <w:rPr>
          <w:rFonts w:asciiTheme="minorHAnsi" w:eastAsia="Times New Roman" w:hAnsiTheme="minorHAnsi" w:cstheme="minorHAnsi"/>
        </w:rPr>
        <w:t>4</w:t>
      </w:r>
      <w:r w:rsidRPr="005570FC">
        <w:rPr>
          <w:rFonts w:asciiTheme="minorHAnsi" w:eastAsia="Times New Roman" w:hAnsiTheme="minorHAnsi" w:cstheme="minorHAnsi"/>
        </w:rPr>
        <w:t>.   The same standards apply as above regarding incomplete or delayed audits.</w:t>
      </w:r>
    </w:p>
    <w:p w14:paraId="47369AE5" w14:textId="77777777" w:rsidR="00650059" w:rsidRPr="005570FC" w:rsidRDefault="00650059" w:rsidP="00EE573C">
      <w:pPr>
        <w:pStyle w:val="BodyTextIndent"/>
        <w:rPr>
          <w:rFonts w:asciiTheme="minorHAnsi" w:hAnsiTheme="minorHAnsi" w:cstheme="minorHAnsi"/>
          <w:sz w:val="16"/>
        </w:rPr>
      </w:pPr>
    </w:p>
    <w:p w14:paraId="14E1152A" w14:textId="77777777" w:rsidR="00EE573C" w:rsidRPr="005570FC" w:rsidRDefault="00EE573C" w:rsidP="005570FC">
      <w:pPr>
        <w:pStyle w:val="BodyTextIndent"/>
        <w:numPr>
          <w:ilvl w:val="0"/>
          <w:numId w:val="8"/>
        </w:numPr>
        <w:rPr>
          <w:rFonts w:asciiTheme="minorHAnsi" w:hAnsiTheme="minorHAnsi" w:cstheme="minorHAnsi"/>
          <w:sz w:val="28"/>
          <w:szCs w:val="28"/>
        </w:rPr>
      </w:pPr>
      <w:r w:rsidRPr="005570FC">
        <w:rPr>
          <w:rFonts w:asciiTheme="minorHAnsi" w:hAnsiTheme="minorHAnsi" w:cstheme="minorHAnsi"/>
          <w:sz w:val="28"/>
          <w:szCs w:val="28"/>
        </w:rPr>
        <w:t>Certificates of Insurance</w:t>
      </w:r>
      <w:r w:rsidR="00E90F1E" w:rsidRPr="005570FC">
        <w:rPr>
          <w:rFonts w:asciiTheme="minorHAnsi" w:hAnsiTheme="minorHAnsi" w:cstheme="minorHAnsi"/>
          <w:sz w:val="28"/>
          <w:szCs w:val="28"/>
        </w:rPr>
        <w:t xml:space="preserve"> </w:t>
      </w:r>
      <w:r w:rsidR="00F671CD" w:rsidRPr="005570FC">
        <w:rPr>
          <w:rFonts w:asciiTheme="minorHAnsi" w:hAnsiTheme="minorHAnsi" w:cstheme="minorHAnsi"/>
          <w:sz w:val="28"/>
          <w:szCs w:val="28"/>
        </w:rPr>
        <w:t xml:space="preserve">– </w:t>
      </w:r>
      <w:r w:rsidR="00F671CD" w:rsidRPr="005570FC">
        <w:rPr>
          <w:rFonts w:asciiTheme="minorHAnsi" w:hAnsiTheme="minorHAnsi" w:cstheme="minorHAnsi"/>
          <w:b w:val="0"/>
          <w:sz w:val="22"/>
          <w:szCs w:val="22"/>
        </w:rPr>
        <w:t>These must be kept updated throughout program year</w:t>
      </w:r>
      <w:r w:rsidR="00874002" w:rsidRPr="005570FC">
        <w:rPr>
          <w:rFonts w:asciiTheme="minorHAnsi" w:hAnsiTheme="minorHAnsi" w:cstheme="minorHAnsi"/>
          <w:b w:val="0"/>
          <w:sz w:val="22"/>
          <w:szCs w:val="22"/>
        </w:rPr>
        <w:t xml:space="preserve">, and </w:t>
      </w:r>
      <w:r w:rsidR="00874002" w:rsidRPr="005570FC">
        <w:rPr>
          <w:rFonts w:asciiTheme="minorHAnsi" w:hAnsiTheme="minorHAnsi" w:cstheme="minorHAnsi"/>
          <w:b w:val="0"/>
          <w:sz w:val="22"/>
          <w:szCs w:val="22"/>
          <w:u w:val="single"/>
        </w:rPr>
        <w:t>funds cannot be encumbered unless all certificates are current</w:t>
      </w:r>
      <w:r w:rsidR="00F671CD" w:rsidRPr="005570FC">
        <w:rPr>
          <w:rFonts w:asciiTheme="minorHAnsi" w:hAnsiTheme="minorHAnsi" w:cstheme="minorHAnsi"/>
          <w:sz w:val="22"/>
          <w:szCs w:val="22"/>
        </w:rPr>
        <w:t>.</w:t>
      </w:r>
    </w:p>
    <w:p w14:paraId="19F5BB29" w14:textId="77777777" w:rsidR="00EE573C" w:rsidRPr="005570FC" w:rsidRDefault="00EE573C" w:rsidP="00CE65DB">
      <w:pPr>
        <w:pStyle w:val="BodyTextIndent"/>
        <w:numPr>
          <w:ilvl w:val="0"/>
          <w:numId w:val="5"/>
        </w:numPr>
        <w:rPr>
          <w:rFonts w:asciiTheme="minorHAnsi" w:hAnsiTheme="minorHAnsi" w:cstheme="minorHAnsi"/>
          <w:b w:val="0"/>
          <w:bCs/>
          <w:sz w:val="22"/>
        </w:rPr>
      </w:pPr>
      <w:r w:rsidRPr="005570FC">
        <w:rPr>
          <w:rFonts w:asciiTheme="minorHAnsi" w:hAnsiTheme="minorHAnsi" w:cstheme="minorHAnsi"/>
          <w:b w:val="0"/>
          <w:bCs/>
          <w:sz w:val="22"/>
        </w:rPr>
        <w:t>Comprehensive General Liability ($1,000,000 or more)</w:t>
      </w:r>
    </w:p>
    <w:p w14:paraId="0319D1A4" w14:textId="77777777" w:rsidR="00EE573C" w:rsidRPr="005570FC" w:rsidRDefault="00EE573C" w:rsidP="00CE65DB">
      <w:pPr>
        <w:pStyle w:val="BodyTextIndent"/>
        <w:numPr>
          <w:ilvl w:val="0"/>
          <w:numId w:val="5"/>
        </w:numPr>
        <w:rPr>
          <w:rFonts w:asciiTheme="minorHAnsi" w:hAnsiTheme="minorHAnsi" w:cstheme="minorHAnsi"/>
          <w:b w:val="0"/>
          <w:bCs/>
          <w:sz w:val="22"/>
        </w:rPr>
      </w:pPr>
      <w:r w:rsidRPr="005570FC">
        <w:rPr>
          <w:rFonts w:asciiTheme="minorHAnsi" w:hAnsiTheme="minorHAnsi" w:cstheme="minorHAnsi"/>
          <w:b w:val="0"/>
          <w:bCs/>
          <w:sz w:val="22"/>
        </w:rPr>
        <w:t>Comprehensive Automobile Liability ($1,000,000 or more per occurrence; must include un</w:t>
      </w:r>
      <w:r w:rsidR="006E5EEA" w:rsidRPr="005570FC">
        <w:rPr>
          <w:rFonts w:asciiTheme="minorHAnsi" w:hAnsiTheme="minorHAnsi" w:cstheme="minorHAnsi"/>
          <w:b w:val="0"/>
          <w:bCs/>
          <w:sz w:val="22"/>
        </w:rPr>
        <w:t>-</w:t>
      </w:r>
      <w:r w:rsidRPr="005570FC">
        <w:rPr>
          <w:rFonts w:asciiTheme="minorHAnsi" w:hAnsiTheme="minorHAnsi" w:cstheme="minorHAnsi"/>
          <w:b w:val="0"/>
          <w:bCs/>
          <w:sz w:val="22"/>
        </w:rPr>
        <w:t>owned autos, i.e. those autos driven by employees in the course of their work but not owned by agency)</w:t>
      </w:r>
    </w:p>
    <w:p w14:paraId="108C2778" w14:textId="77777777" w:rsidR="00EE573C" w:rsidRDefault="00EE573C" w:rsidP="00CE65DB">
      <w:pPr>
        <w:pStyle w:val="BodyTextIndent"/>
        <w:numPr>
          <w:ilvl w:val="0"/>
          <w:numId w:val="5"/>
        </w:numPr>
        <w:rPr>
          <w:rFonts w:asciiTheme="minorHAnsi" w:hAnsiTheme="minorHAnsi" w:cstheme="minorHAnsi"/>
          <w:b w:val="0"/>
          <w:bCs/>
          <w:sz w:val="22"/>
        </w:rPr>
      </w:pPr>
      <w:r w:rsidRPr="005570FC">
        <w:rPr>
          <w:rFonts w:asciiTheme="minorHAnsi" w:hAnsiTheme="minorHAnsi" w:cstheme="minorHAnsi"/>
          <w:b w:val="0"/>
          <w:bCs/>
          <w:sz w:val="22"/>
        </w:rPr>
        <w:t>Workers Compensation ($1,000,000 or more per accident)</w:t>
      </w:r>
    </w:p>
    <w:p w14:paraId="714ACD6F" w14:textId="31AC43FB" w:rsidR="004436EA" w:rsidRDefault="004436EA" w:rsidP="00CE65DB">
      <w:pPr>
        <w:pStyle w:val="BodyTextIndent"/>
        <w:numPr>
          <w:ilvl w:val="0"/>
          <w:numId w:val="5"/>
        </w:numPr>
        <w:rPr>
          <w:rFonts w:asciiTheme="minorHAnsi" w:hAnsiTheme="minorHAnsi" w:cstheme="minorHAnsi"/>
          <w:b w:val="0"/>
          <w:bCs/>
          <w:sz w:val="22"/>
        </w:rPr>
      </w:pPr>
      <w:r>
        <w:rPr>
          <w:rFonts w:asciiTheme="minorHAnsi" w:hAnsiTheme="minorHAnsi" w:cstheme="minorHAnsi"/>
          <w:b w:val="0"/>
          <w:bCs/>
          <w:sz w:val="22"/>
        </w:rPr>
        <w:t>Abuse and Molestation coverage (if applicable)</w:t>
      </w:r>
    </w:p>
    <w:p w14:paraId="234BFECC" w14:textId="77ED6518" w:rsidR="004436EA" w:rsidRPr="005570FC" w:rsidRDefault="004436EA" w:rsidP="00CE65DB">
      <w:pPr>
        <w:pStyle w:val="BodyTextIndent"/>
        <w:numPr>
          <w:ilvl w:val="0"/>
          <w:numId w:val="5"/>
        </w:numPr>
        <w:rPr>
          <w:rFonts w:asciiTheme="minorHAnsi" w:hAnsiTheme="minorHAnsi" w:cstheme="minorHAnsi"/>
          <w:b w:val="0"/>
          <w:bCs/>
          <w:sz w:val="22"/>
        </w:rPr>
      </w:pPr>
      <w:r>
        <w:rPr>
          <w:rFonts w:asciiTheme="minorHAnsi" w:hAnsiTheme="minorHAnsi" w:cstheme="minorHAnsi"/>
          <w:b w:val="0"/>
          <w:bCs/>
          <w:sz w:val="22"/>
        </w:rPr>
        <w:t>Professional Liability (if applicable)</w:t>
      </w:r>
    </w:p>
    <w:p w14:paraId="6BD2E47C" w14:textId="77777777" w:rsidR="00EE573C" w:rsidRPr="005570FC" w:rsidRDefault="00EE573C" w:rsidP="00CE65DB">
      <w:pPr>
        <w:pStyle w:val="BodyTextIndent"/>
        <w:numPr>
          <w:ilvl w:val="0"/>
          <w:numId w:val="5"/>
        </w:numPr>
        <w:rPr>
          <w:rFonts w:asciiTheme="minorHAnsi" w:hAnsiTheme="minorHAnsi" w:cstheme="minorHAnsi"/>
          <w:b w:val="0"/>
          <w:bCs/>
          <w:sz w:val="22"/>
        </w:rPr>
      </w:pPr>
      <w:r w:rsidRPr="005570FC">
        <w:rPr>
          <w:rFonts w:asciiTheme="minorHAnsi" w:hAnsiTheme="minorHAnsi" w:cstheme="minorHAnsi"/>
          <w:b w:val="0"/>
          <w:bCs/>
          <w:sz w:val="22"/>
        </w:rPr>
        <w:t xml:space="preserve">Real and Personal Property </w:t>
      </w:r>
      <w:r w:rsidR="006E5EEA" w:rsidRPr="005570FC">
        <w:rPr>
          <w:rFonts w:asciiTheme="minorHAnsi" w:hAnsiTheme="minorHAnsi" w:cstheme="minorHAnsi"/>
          <w:bCs/>
          <w:sz w:val="22"/>
        </w:rPr>
        <w:t>(Capital Projects</w:t>
      </w:r>
      <w:r w:rsidRPr="005570FC">
        <w:rPr>
          <w:rFonts w:asciiTheme="minorHAnsi" w:hAnsiTheme="minorHAnsi" w:cstheme="minorHAnsi"/>
          <w:bCs/>
          <w:sz w:val="22"/>
        </w:rPr>
        <w:t xml:space="preserve"> only)</w:t>
      </w:r>
    </w:p>
    <w:p w14:paraId="14945B3E" w14:textId="77777777" w:rsidR="00EE573C" w:rsidRPr="005570FC" w:rsidRDefault="00EE573C" w:rsidP="00EE573C">
      <w:pPr>
        <w:pStyle w:val="BodyTextIndent"/>
        <w:ind w:left="0" w:firstLine="0"/>
        <w:rPr>
          <w:rFonts w:asciiTheme="minorHAnsi" w:hAnsiTheme="minorHAnsi" w:cstheme="minorHAnsi"/>
          <w:sz w:val="28"/>
          <w:szCs w:val="28"/>
        </w:rPr>
      </w:pPr>
    </w:p>
    <w:p w14:paraId="1A7D061C" w14:textId="77777777" w:rsidR="00E90F1E" w:rsidRPr="005570FC" w:rsidRDefault="00EE573C" w:rsidP="005570FC">
      <w:pPr>
        <w:pStyle w:val="BodyTextIndent"/>
        <w:numPr>
          <w:ilvl w:val="0"/>
          <w:numId w:val="8"/>
        </w:numPr>
        <w:rPr>
          <w:rFonts w:asciiTheme="minorHAnsi" w:hAnsiTheme="minorHAnsi" w:cstheme="minorHAnsi"/>
          <w:sz w:val="28"/>
          <w:szCs w:val="28"/>
        </w:rPr>
      </w:pPr>
      <w:r w:rsidRPr="005570FC">
        <w:rPr>
          <w:rFonts w:asciiTheme="minorHAnsi" w:hAnsiTheme="minorHAnsi" w:cstheme="minorHAnsi"/>
          <w:sz w:val="28"/>
          <w:szCs w:val="28"/>
        </w:rPr>
        <w:t>Other Documents</w:t>
      </w:r>
    </w:p>
    <w:p w14:paraId="49601692" w14:textId="77777777" w:rsidR="00EE573C" w:rsidRPr="005570FC" w:rsidRDefault="00E90F1E" w:rsidP="00CE65DB">
      <w:pPr>
        <w:pStyle w:val="ListParagraph"/>
        <w:numPr>
          <w:ilvl w:val="0"/>
          <w:numId w:val="6"/>
        </w:numPr>
        <w:rPr>
          <w:rFonts w:asciiTheme="minorHAnsi" w:hAnsiTheme="minorHAnsi" w:cstheme="minorHAnsi"/>
          <w:b/>
        </w:rPr>
      </w:pPr>
      <w:r w:rsidRPr="005570FC">
        <w:rPr>
          <w:rFonts w:asciiTheme="minorHAnsi" w:hAnsiTheme="minorHAnsi" w:cstheme="minorHAnsi"/>
        </w:rPr>
        <w:lastRenderedPageBreak/>
        <w:t xml:space="preserve">Total Project Budget, including other funding sources </w:t>
      </w:r>
    </w:p>
    <w:p w14:paraId="064EB3F0" w14:textId="77777777" w:rsidR="00EE573C" w:rsidRPr="005570FC" w:rsidRDefault="00EE573C" w:rsidP="00CE65DB">
      <w:pPr>
        <w:pStyle w:val="BlockText"/>
        <w:numPr>
          <w:ilvl w:val="0"/>
          <w:numId w:val="6"/>
        </w:numPr>
        <w:rPr>
          <w:rFonts w:asciiTheme="minorHAnsi" w:hAnsiTheme="minorHAnsi" w:cstheme="minorHAnsi"/>
          <w:b w:val="0"/>
          <w:sz w:val="22"/>
        </w:rPr>
      </w:pPr>
      <w:r w:rsidRPr="005570FC">
        <w:rPr>
          <w:rFonts w:asciiTheme="minorHAnsi" w:hAnsiTheme="minorHAnsi" w:cstheme="minorHAnsi"/>
          <w:b w:val="0"/>
          <w:sz w:val="22"/>
        </w:rPr>
        <w:t>Current lease/rental agreement for office and/or program space (if CDBG funds used to pay for rent)</w:t>
      </w:r>
      <w:r w:rsidR="00553581" w:rsidRPr="005570FC">
        <w:rPr>
          <w:rFonts w:asciiTheme="minorHAnsi" w:hAnsiTheme="minorHAnsi" w:cstheme="minorHAnsi"/>
          <w:b w:val="0"/>
          <w:sz w:val="22"/>
        </w:rPr>
        <w:t xml:space="preserve"> </w:t>
      </w:r>
    </w:p>
    <w:p w14:paraId="1459A9F3" w14:textId="77777777" w:rsidR="005570FC" w:rsidRPr="005570FC" w:rsidRDefault="00EE573C" w:rsidP="005E39FC">
      <w:pPr>
        <w:pStyle w:val="ListParagraph"/>
        <w:numPr>
          <w:ilvl w:val="0"/>
          <w:numId w:val="6"/>
        </w:numPr>
        <w:rPr>
          <w:rFonts w:asciiTheme="minorHAnsi" w:hAnsiTheme="minorHAnsi" w:cstheme="minorHAnsi"/>
          <w:bCs/>
        </w:rPr>
      </w:pPr>
      <w:r w:rsidRPr="005570FC">
        <w:rPr>
          <w:rFonts w:asciiTheme="minorHAnsi" w:hAnsiTheme="minorHAnsi" w:cstheme="minorHAnsi"/>
        </w:rPr>
        <w:t xml:space="preserve">First Source Hiring Agreement </w:t>
      </w:r>
      <w:r w:rsidR="00CE65DB" w:rsidRPr="005570FC">
        <w:rPr>
          <w:rFonts w:asciiTheme="minorHAnsi" w:hAnsiTheme="minorHAnsi" w:cstheme="minorHAnsi"/>
        </w:rPr>
        <w:t xml:space="preserve">- </w:t>
      </w:r>
      <w:r w:rsidR="00377F8C" w:rsidRPr="005570FC">
        <w:rPr>
          <w:rFonts w:asciiTheme="minorHAnsi" w:hAnsiTheme="minorHAnsi" w:cstheme="minorHAnsi"/>
        </w:rPr>
        <w:t>O</w:t>
      </w:r>
      <w:r w:rsidRPr="005570FC">
        <w:rPr>
          <w:rFonts w:asciiTheme="minorHAnsi" w:hAnsiTheme="minorHAnsi" w:cstheme="minorHAnsi"/>
        </w:rPr>
        <w:t>nly appl</w:t>
      </w:r>
      <w:r w:rsidR="00377F8C" w:rsidRPr="005570FC">
        <w:rPr>
          <w:rFonts w:asciiTheme="minorHAnsi" w:hAnsiTheme="minorHAnsi" w:cstheme="minorHAnsi"/>
        </w:rPr>
        <w:t>icable if &gt; $50,000 in services</w:t>
      </w:r>
      <w:r w:rsidRPr="005570FC">
        <w:rPr>
          <w:rFonts w:asciiTheme="minorHAnsi" w:hAnsiTheme="minorHAnsi" w:cstheme="minorHAnsi"/>
        </w:rPr>
        <w:t xml:space="preserve"> grants or &gt;$350,000 in Capital grants</w:t>
      </w:r>
    </w:p>
    <w:p w14:paraId="4ED985C0" w14:textId="77777777" w:rsidR="00EE573C" w:rsidRPr="005570FC" w:rsidRDefault="00EE573C" w:rsidP="005E39FC">
      <w:pPr>
        <w:pStyle w:val="ListParagraph"/>
        <w:numPr>
          <w:ilvl w:val="0"/>
          <w:numId w:val="6"/>
        </w:numPr>
        <w:rPr>
          <w:rFonts w:asciiTheme="minorHAnsi" w:hAnsiTheme="minorHAnsi" w:cstheme="minorHAnsi"/>
          <w:bCs/>
        </w:rPr>
      </w:pPr>
      <w:r w:rsidRPr="005570FC">
        <w:rPr>
          <w:rFonts w:asciiTheme="minorHAnsi" w:hAnsiTheme="minorHAnsi" w:cstheme="minorHAnsi"/>
          <w:bCs/>
        </w:rPr>
        <w:t xml:space="preserve">ADA Program Accessibility Survey (if </w:t>
      </w:r>
      <w:r w:rsidR="00056CA1" w:rsidRPr="005570FC">
        <w:rPr>
          <w:rFonts w:asciiTheme="minorHAnsi" w:hAnsiTheme="minorHAnsi" w:cstheme="minorHAnsi"/>
          <w:bCs/>
        </w:rPr>
        <w:t>requested by MOH</w:t>
      </w:r>
      <w:r w:rsidR="00697B3F" w:rsidRPr="005570FC">
        <w:rPr>
          <w:rFonts w:asciiTheme="minorHAnsi" w:hAnsiTheme="minorHAnsi" w:cstheme="minorHAnsi"/>
          <w:bCs/>
        </w:rPr>
        <w:t>CD</w:t>
      </w:r>
      <w:r w:rsidR="00056CA1" w:rsidRPr="005570FC">
        <w:rPr>
          <w:rFonts w:asciiTheme="minorHAnsi" w:hAnsiTheme="minorHAnsi" w:cstheme="minorHAnsi"/>
          <w:bCs/>
        </w:rPr>
        <w:t>)</w:t>
      </w:r>
      <w:r w:rsidR="00553581" w:rsidRPr="005570FC">
        <w:rPr>
          <w:rFonts w:asciiTheme="minorHAnsi" w:hAnsiTheme="minorHAnsi" w:cstheme="minorHAnsi"/>
          <w:bCs/>
        </w:rPr>
        <w:t xml:space="preserve"> (</w:t>
      </w:r>
      <w:r w:rsidR="005570FC" w:rsidRPr="005570FC">
        <w:rPr>
          <w:rFonts w:asciiTheme="minorHAnsi" w:hAnsiTheme="minorHAnsi" w:cstheme="minorHAnsi"/>
          <w:bCs/>
        </w:rPr>
        <w:t xml:space="preserve">Please name file </w:t>
      </w:r>
      <w:r w:rsidR="00553581" w:rsidRPr="005570FC">
        <w:rPr>
          <w:rFonts w:asciiTheme="minorHAnsi" w:hAnsiTheme="minorHAnsi" w:cstheme="minorHAnsi"/>
          <w:bCs/>
        </w:rPr>
        <w:t>“</w:t>
      </w:r>
      <w:r w:rsidR="00697B3F" w:rsidRPr="005570FC">
        <w:rPr>
          <w:rFonts w:asciiTheme="minorHAnsi" w:hAnsiTheme="minorHAnsi" w:cstheme="minorHAnsi"/>
          <w:bCs/>
        </w:rPr>
        <w:t>StreetNameAddress#AgencyName</w:t>
      </w:r>
      <w:r w:rsidR="00553581" w:rsidRPr="005570FC">
        <w:rPr>
          <w:rFonts w:asciiTheme="minorHAnsi" w:hAnsiTheme="minorHAnsi" w:cstheme="minorHAnsi"/>
          <w:bCs/>
        </w:rPr>
        <w:t>”)</w:t>
      </w:r>
    </w:p>
    <w:p w14:paraId="09ECF29E" w14:textId="77777777" w:rsidR="00553581" w:rsidRPr="005570FC" w:rsidRDefault="00553581" w:rsidP="00EE573C">
      <w:pPr>
        <w:pStyle w:val="BodyTextIndent"/>
        <w:ind w:left="0" w:firstLine="0"/>
        <w:rPr>
          <w:rFonts w:asciiTheme="minorHAnsi" w:hAnsiTheme="minorHAnsi" w:cstheme="minorHAnsi"/>
          <w:b w:val="0"/>
          <w:bCs/>
          <w:sz w:val="22"/>
        </w:rPr>
      </w:pPr>
    </w:p>
    <w:p w14:paraId="62243F09" w14:textId="77777777" w:rsidR="00756092" w:rsidRPr="005570FC" w:rsidRDefault="00D06F84">
      <w:pPr>
        <w:rPr>
          <w:rFonts w:asciiTheme="minorHAnsi" w:hAnsiTheme="minorHAnsi" w:cstheme="minorHAnsi"/>
        </w:rPr>
      </w:pPr>
      <w:r w:rsidRPr="005570FC">
        <w:rPr>
          <w:rFonts w:asciiTheme="minorHAnsi" w:hAnsiTheme="minorHAnsi" w:cstheme="minorHAnsi"/>
          <w:b/>
          <w:sz w:val="22"/>
          <w:u w:val="single"/>
        </w:rPr>
        <w:t>GRANT AGREEMENTS AND APPENDIXES:</w:t>
      </w:r>
      <w:r w:rsidR="008936AD" w:rsidRPr="005570FC">
        <w:rPr>
          <w:rFonts w:asciiTheme="minorHAnsi" w:hAnsiTheme="minorHAnsi" w:cstheme="minorHAnsi"/>
          <w:b/>
          <w:sz w:val="22"/>
          <w:u w:val="single"/>
        </w:rPr>
        <w:t xml:space="preserve">  </w:t>
      </w:r>
      <w:r w:rsidR="008936AD" w:rsidRPr="005570FC">
        <w:rPr>
          <w:rFonts w:asciiTheme="minorHAnsi" w:hAnsiTheme="minorHAnsi" w:cstheme="minorHAnsi"/>
          <w:sz w:val="22"/>
        </w:rPr>
        <w:t xml:space="preserve">If this is a new project and is </w:t>
      </w:r>
      <w:r w:rsidR="005570FC" w:rsidRPr="005570FC">
        <w:rPr>
          <w:rFonts w:asciiTheme="minorHAnsi" w:hAnsiTheme="minorHAnsi" w:cstheme="minorHAnsi"/>
          <w:sz w:val="22"/>
        </w:rPr>
        <w:t xml:space="preserve">NOT entering the second year of a two-year grant agreement, then MOHCD will need a </w:t>
      </w:r>
      <w:r w:rsidR="00E15D9F" w:rsidRPr="005570FC">
        <w:rPr>
          <w:rFonts w:asciiTheme="minorHAnsi" w:hAnsiTheme="minorHAnsi" w:cstheme="minorHAnsi"/>
        </w:rPr>
        <w:t>Docu-Sign</w:t>
      </w:r>
      <w:r w:rsidR="005570FC" w:rsidRPr="005570FC">
        <w:rPr>
          <w:rFonts w:asciiTheme="minorHAnsi" w:hAnsiTheme="minorHAnsi" w:cstheme="minorHAnsi"/>
        </w:rPr>
        <w:t>ed</w:t>
      </w:r>
      <w:r w:rsidR="00E15D9F" w:rsidRPr="005570FC">
        <w:rPr>
          <w:rFonts w:asciiTheme="minorHAnsi" w:hAnsiTheme="minorHAnsi" w:cstheme="minorHAnsi"/>
        </w:rPr>
        <w:t xml:space="preserve"> grant agreement</w:t>
      </w:r>
      <w:r w:rsidR="00174056" w:rsidRPr="005570FC">
        <w:rPr>
          <w:rFonts w:asciiTheme="minorHAnsi" w:hAnsiTheme="minorHAnsi" w:cstheme="minorHAnsi"/>
          <w:sz w:val="22"/>
        </w:rPr>
        <w:t xml:space="preserve"> and c</w:t>
      </w:r>
      <w:r w:rsidR="00EE573C" w:rsidRPr="005570FC">
        <w:rPr>
          <w:rFonts w:asciiTheme="minorHAnsi" w:hAnsiTheme="minorHAnsi" w:cstheme="minorHAnsi"/>
          <w:sz w:val="22"/>
        </w:rPr>
        <w:t xml:space="preserve">omplete </w:t>
      </w:r>
      <w:r w:rsidR="00422F8B" w:rsidRPr="005570FC">
        <w:rPr>
          <w:rFonts w:asciiTheme="minorHAnsi" w:hAnsiTheme="minorHAnsi" w:cstheme="minorHAnsi"/>
          <w:sz w:val="22"/>
        </w:rPr>
        <w:t>Appendix B</w:t>
      </w:r>
      <w:r w:rsidR="00EE573C" w:rsidRPr="005570FC">
        <w:rPr>
          <w:rFonts w:asciiTheme="minorHAnsi" w:hAnsiTheme="minorHAnsi" w:cstheme="minorHAnsi"/>
          <w:sz w:val="22"/>
        </w:rPr>
        <w:t xml:space="preserve">-Interest in other City Contracts </w:t>
      </w:r>
      <w:r w:rsidR="00174056" w:rsidRPr="005570FC">
        <w:rPr>
          <w:rFonts w:asciiTheme="minorHAnsi" w:hAnsiTheme="minorHAnsi" w:cstheme="minorHAnsi"/>
          <w:sz w:val="22"/>
        </w:rPr>
        <w:t>(Word Document</w:t>
      </w:r>
      <w:r w:rsidR="00EE573C" w:rsidRPr="005570FC">
        <w:rPr>
          <w:rFonts w:asciiTheme="minorHAnsi" w:hAnsiTheme="minorHAnsi" w:cstheme="minorHAnsi"/>
          <w:sz w:val="22"/>
        </w:rPr>
        <w:t>)</w:t>
      </w:r>
      <w:r w:rsidR="00CC598A" w:rsidRPr="005570FC">
        <w:rPr>
          <w:rFonts w:asciiTheme="minorHAnsi" w:hAnsiTheme="minorHAnsi" w:cstheme="minorHAnsi"/>
          <w:sz w:val="22"/>
        </w:rPr>
        <w:t xml:space="preserve">; </w:t>
      </w:r>
    </w:p>
    <w:p w14:paraId="2393197B" w14:textId="77777777" w:rsidR="00D06F84" w:rsidRPr="005570FC" w:rsidRDefault="00D06F84">
      <w:pPr>
        <w:rPr>
          <w:rFonts w:asciiTheme="minorHAnsi" w:hAnsiTheme="minorHAnsi" w:cstheme="minorHAnsi"/>
        </w:rPr>
      </w:pPr>
    </w:p>
    <w:p w14:paraId="5D455C06" w14:textId="77777777" w:rsidR="00D06F84" w:rsidRPr="005570FC" w:rsidRDefault="00D06F84" w:rsidP="00D06F84">
      <w:pPr>
        <w:ind w:left="720" w:hanging="720"/>
        <w:rPr>
          <w:rFonts w:asciiTheme="minorHAnsi" w:hAnsiTheme="minorHAnsi" w:cstheme="minorHAnsi"/>
          <w:bCs/>
          <w:sz w:val="22"/>
        </w:rPr>
      </w:pPr>
      <w:r w:rsidRPr="005570FC">
        <w:rPr>
          <w:rFonts w:asciiTheme="minorHAnsi" w:hAnsiTheme="minorHAnsi" w:cstheme="minorHAnsi"/>
          <w:bCs/>
          <w:sz w:val="22"/>
        </w:rPr>
        <w:t>NOTE: Board Resolution Authorizing Signatory – If the grant agreement is not being signed by Board President/Chair, upload a</w:t>
      </w:r>
    </w:p>
    <w:p w14:paraId="48E831F0" w14:textId="77777777" w:rsidR="00D06F84" w:rsidRPr="005570FC" w:rsidRDefault="00D06F84" w:rsidP="005570FC">
      <w:pPr>
        <w:ind w:left="720" w:hanging="720"/>
        <w:rPr>
          <w:rFonts w:asciiTheme="minorHAnsi" w:hAnsiTheme="minorHAnsi" w:cstheme="minorHAnsi"/>
          <w:bCs/>
          <w:sz w:val="22"/>
        </w:rPr>
      </w:pPr>
      <w:r w:rsidRPr="005570FC">
        <w:rPr>
          <w:rFonts w:asciiTheme="minorHAnsi" w:hAnsiTheme="minorHAnsi" w:cstheme="minorHAnsi"/>
          <w:bCs/>
          <w:sz w:val="22"/>
        </w:rPr>
        <w:t>board resolution authorizing the position of the individual (i.e., “Executive Director”) who signed the agreement to do so</w:t>
      </w:r>
      <w:r w:rsidR="005570FC" w:rsidRPr="005570FC">
        <w:rPr>
          <w:rFonts w:asciiTheme="minorHAnsi" w:hAnsiTheme="minorHAnsi" w:cstheme="minorHAnsi"/>
          <w:bCs/>
          <w:sz w:val="22"/>
        </w:rPr>
        <w:t>.</w:t>
      </w:r>
    </w:p>
    <w:sectPr w:rsidR="00D06F84" w:rsidRPr="005570FC" w:rsidSect="00D73B28">
      <w:pgSz w:w="12240" w:h="15840"/>
      <w:pgMar w:top="1440"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1AD4" w14:textId="77777777" w:rsidR="00756092" w:rsidRDefault="00756092">
      <w:r>
        <w:separator/>
      </w:r>
    </w:p>
  </w:endnote>
  <w:endnote w:type="continuationSeparator" w:id="0">
    <w:p w14:paraId="213B6CF8" w14:textId="77777777" w:rsidR="00756092" w:rsidRDefault="0075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47B29" w14:textId="77777777" w:rsidR="00756092" w:rsidRDefault="00756092">
      <w:r>
        <w:separator/>
      </w:r>
    </w:p>
  </w:footnote>
  <w:footnote w:type="continuationSeparator" w:id="0">
    <w:p w14:paraId="1658B802" w14:textId="77777777" w:rsidR="00756092" w:rsidRDefault="00756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F59DC"/>
    <w:multiLevelType w:val="hybridMultilevel"/>
    <w:tmpl w:val="D442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53EA0"/>
    <w:multiLevelType w:val="hybridMultilevel"/>
    <w:tmpl w:val="C3A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1D16"/>
    <w:multiLevelType w:val="hybridMultilevel"/>
    <w:tmpl w:val="93EE7426"/>
    <w:lvl w:ilvl="0" w:tplc="0FC673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9E82BA6"/>
    <w:multiLevelType w:val="hybridMultilevel"/>
    <w:tmpl w:val="54BC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A743C2"/>
    <w:multiLevelType w:val="hybridMultilevel"/>
    <w:tmpl w:val="54E8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424B8"/>
    <w:multiLevelType w:val="hybridMultilevel"/>
    <w:tmpl w:val="3360610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E26348"/>
    <w:multiLevelType w:val="hybridMultilevel"/>
    <w:tmpl w:val="FF4C9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4685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4492495">
    <w:abstractNumId w:val="3"/>
  </w:num>
  <w:num w:numId="3" w16cid:durableId="1179655553">
    <w:abstractNumId w:val="0"/>
  </w:num>
  <w:num w:numId="4" w16cid:durableId="6948794">
    <w:abstractNumId w:val="6"/>
  </w:num>
  <w:num w:numId="5" w16cid:durableId="2145924271">
    <w:abstractNumId w:val="1"/>
  </w:num>
  <w:num w:numId="6" w16cid:durableId="105733747">
    <w:abstractNumId w:val="4"/>
  </w:num>
  <w:num w:numId="7" w16cid:durableId="1059792305">
    <w:abstractNumId w:val="1"/>
  </w:num>
  <w:num w:numId="8" w16cid:durableId="1473936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3C"/>
    <w:rsid w:val="00026118"/>
    <w:rsid w:val="00036EE5"/>
    <w:rsid w:val="00056CA1"/>
    <w:rsid w:val="00081300"/>
    <w:rsid w:val="000D4024"/>
    <w:rsid w:val="00104FC8"/>
    <w:rsid w:val="00174056"/>
    <w:rsid w:val="001929B1"/>
    <w:rsid w:val="00194B56"/>
    <w:rsid w:val="001A24D4"/>
    <w:rsid w:val="001D08B3"/>
    <w:rsid w:val="0033323F"/>
    <w:rsid w:val="00377F8C"/>
    <w:rsid w:val="003E03F3"/>
    <w:rsid w:val="00422F8B"/>
    <w:rsid w:val="004436EA"/>
    <w:rsid w:val="00475A6A"/>
    <w:rsid w:val="00497968"/>
    <w:rsid w:val="005043D7"/>
    <w:rsid w:val="00553581"/>
    <w:rsid w:val="005570FC"/>
    <w:rsid w:val="005A1F7A"/>
    <w:rsid w:val="005B4E1C"/>
    <w:rsid w:val="00602B33"/>
    <w:rsid w:val="006119B0"/>
    <w:rsid w:val="0062114D"/>
    <w:rsid w:val="0064788A"/>
    <w:rsid w:val="00650059"/>
    <w:rsid w:val="006745AA"/>
    <w:rsid w:val="00697B3F"/>
    <w:rsid w:val="006E5EEA"/>
    <w:rsid w:val="007105D8"/>
    <w:rsid w:val="0071214E"/>
    <w:rsid w:val="007433B5"/>
    <w:rsid w:val="0075550B"/>
    <w:rsid w:val="00756092"/>
    <w:rsid w:val="00836CC9"/>
    <w:rsid w:val="00874002"/>
    <w:rsid w:val="00887D2A"/>
    <w:rsid w:val="008936AD"/>
    <w:rsid w:val="00893D4B"/>
    <w:rsid w:val="008F73DB"/>
    <w:rsid w:val="0095464D"/>
    <w:rsid w:val="009A58E8"/>
    <w:rsid w:val="009E4CF8"/>
    <w:rsid w:val="00A14102"/>
    <w:rsid w:val="00A4795B"/>
    <w:rsid w:val="00A709DF"/>
    <w:rsid w:val="00AA71D5"/>
    <w:rsid w:val="00C24AE2"/>
    <w:rsid w:val="00C46480"/>
    <w:rsid w:val="00CB5F9E"/>
    <w:rsid w:val="00CC2725"/>
    <w:rsid w:val="00CC598A"/>
    <w:rsid w:val="00CE65DB"/>
    <w:rsid w:val="00CF5834"/>
    <w:rsid w:val="00D06F84"/>
    <w:rsid w:val="00D73B28"/>
    <w:rsid w:val="00E00751"/>
    <w:rsid w:val="00E15D9F"/>
    <w:rsid w:val="00E65D5D"/>
    <w:rsid w:val="00E750BD"/>
    <w:rsid w:val="00E7580D"/>
    <w:rsid w:val="00E90F1E"/>
    <w:rsid w:val="00EA29F5"/>
    <w:rsid w:val="00EB4F0F"/>
    <w:rsid w:val="00EE10ED"/>
    <w:rsid w:val="00EE573C"/>
    <w:rsid w:val="00F2513E"/>
    <w:rsid w:val="00F671CD"/>
    <w:rsid w:val="00F97B99"/>
    <w:rsid w:val="00FA1003"/>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E7163"/>
  <w15:docId w15:val="{129FEE6A-E7F9-4A35-AA56-E9F23B17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E573C"/>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73C"/>
    <w:rPr>
      <w:rFonts w:ascii="Times New Roman" w:eastAsia="Times New Roman" w:hAnsi="Times New Roman" w:cs="Times New Roman"/>
      <w:b/>
      <w:sz w:val="24"/>
      <w:szCs w:val="20"/>
    </w:rPr>
  </w:style>
  <w:style w:type="paragraph" w:styleId="Footer">
    <w:name w:val="footer"/>
    <w:basedOn w:val="Normal"/>
    <w:link w:val="FooterChar"/>
    <w:rsid w:val="00EE573C"/>
    <w:pPr>
      <w:tabs>
        <w:tab w:val="center" w:pos="4320"/>
        <w:tab w:val="right" w:pos="8640"/>
      </w:tabs>
    </w:pPr>
    <w:rPr>
      <w:sz w:val="20"/>
      <w:szCs w:val="20"/>
    </w:rPr>
  </w:style>
  <w:style w:type="character" w:customStyle="1" w:styleId="FooterChar">
    <w:name w:val="Footer Char"/>
    <w:basedOn w:val="DefaultParagraphFont"/>
    <w:link w:val="Footer"/>
    <w:rsid w:val="00EE573C"/>
    <w:rPr>
      <w:rFonts w:ascii="Times New Roman" w:eastAsia="Times New Roman" w:hAnsi="Times New Roman" w:cs="Times New Roman"/>
      <w:sz w:val="20"/>
      <w:szCs w:val="20"/>
    </w:rPr>
  </w:style>
  <w:style w:type="paragraph" w:styleId="BodyTextIndent">
    <w:name w:val="Body Text Indent"/>
    <w:basedOn w:val="Normal"/>
    <w:link w:val="BodyTextIndentChar"/>
    <w:rsid w:val="00EE573C"/>
    <w:pPr>
      <w:ind w:left="720" w:hanging="720"/>
    </w:pPr>
    <w:rPr>
      <w:b/>
      <w:szCs w:val="20"/>
    </w:rPr>
  </w:style>
  <w:style w:type="character" w:customStyle="1" w:styleId="BodyTextIndentChar">
    <w:name w:val="Body Text Indent Char"/>
    <w:basedOn w:val="DefaultParagraphFont"/>
    <w:link w:val="BodyTextIndent"/>
    <w:rsid w:val="00EE573C"/>
    <w:rPr>
      <w:rFonts w:ascii="Times New Roman" w:eastAsia="Times New Roman" w:hAnsi="Times New Roman" w:cs="Times New Roman"/>
      <w:b/>
      <w:sz w:val="24"/>
      <w:szCs w:val="20"/>
    </w:rPr>
  </w:style>
  <w:style w:type="paragraph" w:styleId="BlockText">
    <w:name w:val="Block Text"/>
    <w:basedOn w:val="Normal"/>
    <w:rsid w:val="00EE573C"/>
    <w:pPr>
      <w:ind w:left="720" w:right="396" w:hanging="720"/>
    </w:pPr>
    <w:rPr>
      <w:b/>
      <w:bCs/>
      <w:szCs w:val="20"/>
    </w:rPr>
  </w:style>
  <w:style w:type="character" w:styleId="Hyperlink">
    <w:name w:val="Hyperlink"/>
    <w:basedOn w:val="DefaultParagraphFont"/>
    <w:rsid w:val="00EE573C"/>
    <w:rPr>
      <w:color w:val="0000FF"/>
      <w:u w:val="single"/>
    </w:rPr>
  </w:style>
  <w:style w:type="paragraph" w:styleId="Header">
    <w:name w:val="header"/>
    <w:basedOn w:val="Normal"/>
    <w:link w:val="HeaderChar"/>
    <w:rsid w:val="00EE573C"/>
    <w:pPr>
      <w:tabs>
        <w:tab w:val="center" w:pos="4320"/>
        <w:tab w:val="right" w:pos="8640"/>
      </w:tabs>
    </w:pPr>
    <w:rPr>
      <w:szCs w:val="20"/>
    </w:rPr>
  </w:style>
  <w:style w:type="character" w:customStyle="1" w:styleId="HeaderChar">
    <w:name w:val="Header Char"/>
    <w:basedOn w:val="DefaultParagraphFont"/>
    <w:link w:val="Header"/>
    <w:rsid w:val="00EE573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043D7"/>
    <w:rPr>
      <w:color w:val="800080" w:themeColor="followedHyperlink"/>
      <w:u w:val="single"/>
    </w:rPr>
  </w:style>
  <w:style w:type="paragraph" w:styleId="BalloonText">
    <w:name w:val="Balloon Text"/>
    <w:basedOn w:val="Normal"/>
    <w:link w:val="BalloonTextChar"/>
    <w:uiPriority w:val="99"/>
    <w:semiHidden/>
    <w:unhideWhenUsed/>
    <w:rsid w:val="00F67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1CD"/>
    <w:rPr>
      <w:rFonts w:ascii="Segoe UI" w:eastAsia="Times New Roman" w:hAnsi="Segoe UI" w:cs="Segoe UI"/>
      <w:sz w:val="18"/>
      <w:szCs w:val="18"/>
    </w:rPr>
  </w:style>
  <w:style w:type="paragraph" w:styleId="ListParagraph">
    <w:name w:val="List Paragraph"/>
    <w:basedOn w:val="Normal"/>
    <w:uiPriority w:val="34"/>
    <w:qFormat/>
    <w:rsid w:val="003E03F3"/>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433403">
      <w:bodyDiv w:val="1"/>
      <w:marLeft w:val="0"/>
      <w:marRight w:val="0"/>
      <w:marTop w:val="0"/>
      <w:marBottom w:val="0"/>
      <w:divBdr>
        <w:top w:val="none" w:sz="0" w:space="0" w:color="auto"/>
        <w:left w:val="none" w:sz="0" w:space="0" w:color="auto"/>
        <w:bottom w:val="none" w:sz="0" w:space="0" w:color="auto"/>
        <w:right w:val="none" w:sz="0" w:space="0" w:color="auto"/>
      </w:divBdr>
    </w:div>
    <w:div w:id="1253121746">
      <w:bodyDiv w:val="1"/>
      <w:marLeft w:val="0"/>
      <w:marRight w:val="0"/>
      <w:marTop w:val="0"/>
      <w:marBottom w:val="0"/>
      <w:divBdr>
        <w:top w:val="none" w:sz="0" w:space="0" w:color="auto"/>
        <w:left w:val="none" w:sz="0" w:space="0" w:color="auto"/>
        <w:bottom w:val="none" w:sz="0" w:space="0" w:color="auto"/>
        <w:right w:val="none" w:sz="0" w:space="0" w:color="auto"/>
      </w:divBdr>
    </w:div>
    <w:div w:id="1309237986">
      <w:bodyDiv w:val="1"/>
      <w:marLeft w:val="0"/>
      <w:marRight w:val="0"/>
      <w:marTop w:val="0"/>
      <w:marBottom w:val="0"/>
      <w:divBdr>
        <w:top w:val="none" w:sz="0" w:space="0" w:color="auto"/>
        <w:left w:val="none" w:sz="0" w:space="0" w:color="auto"/>
        <w:bottom w:val="none" w:sz="0" w:space="0" w:color="auto"/>
        <w:right w:val="none" w:sz="0" w:space="0" w:color="auto"/>
      </w:divBdr>
    </w:div>
    <w:div w:id="17828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JHarris</dc:creator>
  <cp:lastModifiedBy>Stroud, Pierre (MYR)</cp:lastModifiedBy>
  <cp:revision>3</cp:revision>
  <cp:lastPrinted>2020-02-25T17:23:00Z</cp:lastPrinted>
  <dcterms:created xsi:type="dcterms:W3CDTF">2024-04-30T20:22:00Z</dcterms:created>
  <dcterms:modified xsi:type="dcterms:W3CDTF">2024-06-06T23:33:00Z</dcterms:modified>
</cp:coreProperties>
</file>