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DBA" w:rsidRPr="00F34959" w:rsidRDefault="00B51DBA" w:rsidP="00E76021">
      <w:pPr>
        <w:rPr>
          <w:rFonts w:ascii="Tw Cen MT" w:hAnsi="Tw Cen MT"/>
          <w:b/>
          <w:bCs/>
          <w:sz w:val="24"/>
          <w:szCs w:val="24"/>
        </w:rPr>
      </w:pPr>
    </w:p>
    <w:p w:rsidR="005457AF" w:rsidRPr="00582BC2" w:rsidRDefault="005457AF" w:rsidP="005457AF">
      <w:pPr>
        <w:jc w:val="center"/>
        <w:rPr>
          <w:rFonts w:ascii="Tw Cen MT" w:hAnsi="Tw Cen MT"/>
          <w:b/>
          <w:bCs/>
          <w:sz w:val="40"/>
          <w:szCs w:val="40"/>
        </w:rPr>
      </w:pPr>
      <w:r w:rsidRPr="00582BC2">
        <w:rPr>
          <w:rFonts w:ascii="Tw Cen MT" w:hAnsi="Tw Cen MT"/>
          <w:b/>
          <w:bCs/>
          <w:sz w:val="40"/>
          <w:szCs w:val="40"/>
        </w:rPr>
        <w:t>CITIZENS’ COMMITTEE ON COMMUNITY DEVELOPMENT</w:t>
      </w:r>
    </w:p>
    <w:p w:rsidR="005457AF" w:rsidRPr="00CD61E3" w:rsidRDefault="005457AF" w:rsidP="005457AF">
      <w:pPr>
        <w:jc w:val="center"/>
        <w:rPr>
          <w:rFonts w:ascii="Tw Cen MT" w:hAnsi="Tw Cen MT"/>
          <w:b/>
          <w:bCs/>
          <w:sz w:val="36"/>
          <w:szCs w:val="36"/>
        </w:rPr>
      </w:pPr>
      <w:r>
        <w:rPr>
          <w:rFonts w:ascii="Tw Cen MT" w:hAnsi="Tw Cen MT"/>
          <w:b/>
          <w:bCs/>
          <w:sz w:val="36"/>
          <w:szCs w:val="36"/>
        </w:rPr>
        <w:t>FULL COMMITTEE MEETING</w:t>
      </w:r>
    </w:p>
    <w:p w:rsidR="005457AF" w:rsidRDefault="005457AF" w:rsidP="005457AF">
      <w:pPr>
        <w:rPr>
          <w:rFonts w:ascii="Tw Cen MT" w:hAnsi="Tw Cen MT"/>
          <w:b/>
          <w:bCs/>
          <w:sz w:val="24"/>
          <w:szCs w:val="24"/>
        </w:rPr>
      </w:pPr>
    </w:p>
    <w:p w:rsidR="005457AF" w:rsidRPr="004F53B0" w:rsidRDefault="005457AF" w:rsidP="005457AF">
      <w:pPr>
        <w:rPr>
          <w:rFonts w:ascii="Tw Cen MT" w:hAnsi="Tw Cen MT"/>
          <w:b/>
          <w:bCs/>
          <w:sz w:val="24"/>
          <w:szCs w:val="24"/>
        </w:rPr>
      </w:pPr>
    </w:p>
    <w:p w:rsidR="005457AF" w:rsidRDefault="005457AF" w:rsidP="005457AF">
      <w:pPr>
        <w:jc w:val="center"/>
        <w:rPr>
          <w:rFonts w:ascii="Tw Cen MT" w:hAnsi="Tw Cen MT"/>
          <w:sz w:val="24"/>
          <w:szCs w:val="24"/>
        </w:rPr>
      </w:pPr>
      <w:r>
        <w:rPr>
          <w:rFonts w:ascii="Tw Cen MT" w:hAnsi="Tw Cen MT"/>
          <w:sz w:val="24"/>
          <w:szCs w:val="24"/>
        </w:rPr>
        <w:t>Tuesday, March 15, 2022</w:t>
      </w:r>
    </w:p>
    <w:p w:rsidR="005457AF" w:rsidRDefault="005457AF" w:rsidP="005457AF">
      <w:pPr>
        <w:jc w:val="center"/>
        <w:rPr>
          <w:rFonts w:ascii="Tw Cen MT" w:hAnsi="Tw Cen MT"/>
          <w:sz w:val="24"/>
          <w:szCs w:val="24"/>
        </w:rPr>
      </w:pPr>
      <w:r>
        <w:rPr>
          <w:rFonts w:ascii="Tw Cen MT" w:hAnsi="Tw Cen MT"/>
          <w:sz w:val="24"/>
          <w:szCs w:val="24"/>
        </w:rPr>
        <w:t>Zoom  Meeting</w:t>
      </w:r>
    </w:p>
    <w:p w:rsidR="005457AF" w:rsidRDefault="005457AF" w:rsidP="005457AF">
      <w:pPr>
        <w:jc w:val="center"/>
        <w:rPr>
          <w:rFonts w:ascii="Tw Cen MT" w:hAnsi="Tw Cen MT"/>
          <w:sz w:val="24"/>
          <w:szCs w:val="24"/>
        </w:rPr>
      </w:pPr>
      <w:r>
        <w:rPr>
          <w:rFonts w:ascii="Tw Cen MT" w:hAnsi="Tw Cen MT"/>
          <w:sz w:val="24"/>
          <w:szCs w:val="24"/>
        </w:rPr>
        <w:t>5:00 p.m. – 6:30 p.m.</w:t>
      </w:r>
    </w:p>
    <w:p w:rsidR="005457AF" w:rsidRDefault="005457AF" w:rsidP="005457AF">
      <w:pPr>
        <w:jc w:val="center"/>
        <w:rPr>
          <w:rFonts w:ascii="Tw Cen MT" w:hAnsi="Tw Cen MT"/>
          <w:i/>
          <w:sz w:val="24"/>
          <w:szCs w:val="24"/>
        </w:rPr>
      </w:pPr>
    </w:p>
    <w:p w:rsidR="005457AF" w:rsidRDefault="005457AF" w:rsidP="005457AF">
      <w:pPr>
        <w:jc w:val="center"/>
        <w:rPr>
          <w:rFonts w:ascii="Tw Cen MT" w:hAnsi="Tw Cen MT"/>
          <w:i/>
          <w:sz w:val="24"/>
          <w:szCs w:val="24"/>
        </w:rPr>
      </w:pPr>
      <w:r>
        <w:rPr>
          <w:rFonts w:ascii="Tw Cen MT" w:hAnsi="Tw Cen MT"/>
          <w:i/>
          <w:sz w:val="24"/>
          <w:szCs w:val="24"/>
        </w:rPr>
        <w:t>T</w:t>
      </w:r>
      <w:r w:rsidRPr="00594128">
        <w:rPr>
          <w:rFonts w:ascii="Tw Cen MT" w:hAnsi="Tw Cen MT"/>
          <w:i/>
          <w:sz w:val="24"/>
          <w:szCs w:val="24"/>
        </w:rPr>
        <w:t>o receive login or dial</w:t>
      </w:r>
      <w:r>
        <w:rPr>
          <w:rFonts w:ascii="Tw Cen MT" w:hAnsi="Tw Cen MT"/>
          <w:i/>
          <w:sz w:val="24"/>
          <w:szCs w:val="24"/>
        </w:rPr>
        <w:t xml:space="preserve">-in </w:t>
      </w:r>
      <w:r w:rsidRPr="00594128">
        <w:rPr>
          <w:rFonts w:ascii="Tw Cen MT" w:hAnsi="Tw Cen MT"/>
          <w:i/>
          <w:sz w:val="24"/>
          <w:szCs w:val="24"/>
        </w:rPr>
        <w:t>information</w:t>
      </w:r>
      <w:r>
        <w:rPr>
          <w:rFonts w:ascii="Tw Cen MT" w:hAnsi="Tw Cen MT"/>
          <w:i/>
          <w:sz w:val="24"/>
          <w:szCs w:val="24"/>
        </w:rPr>
        <w:t>, i</w:t>
      </w:r>
      <w:r w:rsidRPr="00594128">
        <w:rPr>
          <w:rFonts w:ascii="Tw Cen MT" w:hAnsi="Tw Cen MT"/>
          <w:i/>
          <w:sz w:val="24"/>
          <w:szCs w:val="24"/>
        </w:rPr>
        <w:t>nterested members of the public must email</w:t>
      </w:r>
      <w:r>
        <w:rPr>
          <w:rFonts w:ascii="Tw Cen MT" w:hAnsi="Tw Cen MT"/>
          <w:i/>
          <w:sz w:val="24"/>
          <w:szCs w:val="24"/>
        </w:rPr>
        <w:t>:</w:t>
      </w:r>
    </w:p>
    <w:p w:rsidR="005457AF" w:rsidRPr="00E04845" w:rsidRDefault="005457AF" w:rsidP="005457AF">
      <w:pPr>
        <w:jc w:val="center"/>
        <w:rPr>
          <w:rFonts w:ascii="Tw Cen MT" w:hAnsi="Tw Cen MT"/>
          <w:i/>
          <w:sz w:val="24"/>
          <w:szCs w:val="24"/>
        </w:rPr>
      </w:pPr>
      <w:r w:rsidRPr="00594128">
        <w:rPr>
          <w:rFonts w:ascii="Tw Cen MT" w:hAnsi="Tw Cen MT"/>
          <w:i/>
          <w:sz w:val="24"/>
          <w:szCs w:val="24"/>
        </w:rPr>
        <w:t xml:space="preserve"> </w:t>
      </w:r>
      <w:hyperlink r:id="rId7" w:history="1">
        <w:r w:rsidRPr="00E8097E">
          <w:rPr>
            <w:rStyle w:val="Hyperlink"/>
            <w:rFonts w:ascii="Tw Cen MT" w:hAnsi="Tw Cen MT"/>
            <w:i/>
            <w:sz w:val="24"/>
            <w:szCs w:val="24"/>
          </w:rPr>
          <w:t>pierre.stroud@sfgov.org</w:t>
        </w:r>
      </w:hyperlink>
      <w:r w:rsidRPr="00594128">
        <w:rPr>
          <w:rFonts w:ascii="Tw Cen MT" w:hAnsi="Tw Cen MT"/>
          <w:i/>
          <w:sz w:val="24"/>
          <w:szCs w:val="24"/>
        </w:rPr>
        <w:t xml:space="preserve"> </w:t>
      </w:r>
    </w:p>
    <w:p w:rsidR="005457AF" w:rsidRDefault="005457AF" w:rsidP="005457AF">
      <w:pPr>
        <w:rPr>
          <w:rFonts w:ascii="Tw Cen MT" w:hAnsi="Tw Cen MT"/>
          <w:sz w:val="24"/>
          <w:szCs w:val="24"/>
        </w:rPr>
      </w:pPr>
    </w:p>
    <w:p w:rsidR="005457AF" w:rsidRDefault="005457AF" w:rsidP="005457AF">
      <w:pPr>
        <w:rPr>
          <w:rFonts w:ascii="Tw Cen MT" w:hAnsi="Tw Cen MT"/>
          <w:sz w:val="24"/>
          <w:szCs w:val="24"/>
        </w:rPr>
      </w:pPr>
    </w:p>
    <w:p w:rsidR="005457AF" w:rsidRPr="00582BC2" w:rsidRDefault="005457AF" w:rsidP="005457AF">
      <w:pPr>
        <w:jc w:val="center"/>
        <w:rPr>
          <w:rFonts w:ascii="Tw Cen MT" w:hAnsi="Tw Cen MT"/>
          <w:b/>
          <w:sz w:val="36"/>
          <w:szCs w:val="36"/>
          <w:u w:val="single"/>
        </w:rPr>
      </w:pPr>
      <w:r>
        <w:rPr>
          <w:rFonts w:ascii="Tw Cen MT" w:hAnsi="Tw Cen MT"/>
          <w:b/>
          <w:sz w:val="36"/>
          <w:szCs w:val="36"/>
          <w:u w:val="single"/>
        </w:rPr>
        <w:t>Minutes</w:t>
      </w:r>
    </w:p>
    <w:p w:rsidR="005457AF" w:rsidRDefault="005457AF" w:rsidP="005457AF">
      <w:pPr>
        <w:jc w:val="center"/>
        <w:rPr>
          <w:rFonts w:ascii="Tw Cen MT" w:hAnsi="Tw Cen MT"/>
          <w:sz w:val="24"/>
          <w:szCs w:val="24"/>
        </w:rPr>
      </w:pPr>
    </w:p>
    <w:p w:rsidR="005457AF" w:rsidRDefault="005457AF" w:rsidP="005457AF">
      <w:pPr>
        <w:jc w:val="center"/>
        <w:rPr>
          <w:rFonts w:ascii="Tw Cen MT" w:hAnsi="Tw Cen MT"/>
          <w:sz w:val="24"/>
          <w:szCs w:val="24"/>
        </w:rPr>
      </w:pPr>
    </w:p>
    <w:p w:rsidR="005457AF" w:rsidRDefault="005457AF" w:rsidP="005457AF">
      <w:pPr>
        <w:pStyle w:val="ListParagraph"/>
        <w:numPr>
          <w:ilvl w:val="0"/>
          <w:numId w:val="20"/>
        </w:numPr>
        <w:rPr>
          <w:rFonts w:ascii="Tw Cen MT" w:hAnsi="Tw Cen MT"/>
          <w:b/>
          <w:sz w:val="24"/>
          <w:szCs w:val="24"/>
        </w:rPr>
      </w:pPr>
      <w:r w:rsidRPr="00460399">
        <w:rPr>
          <w:rFonts w:ascii="Tw Cen MT" w:hAnsi="Tw Cen MT"/>
          <w:b/>
          <w:sz w:val="24"/>
          <w:szCs w:val="24"/>
        </w:rPr>
        <w:t>Call to Order</w:t>
      </w:r>
      <w:r>
        <w:rPr>
          <w:rFonts w:ascii="Tw Cen MT" w:hAnsi="Tw Cen MT"/>
          <w:b/>
          <w:sz w:val="24"/>
          <w:szCs w:val="24"/>
        </w:rPr>
        <w:t xml:space="preserve"> – 5:05pm</w:t>
      </w:r>
    </w:p>
    <w:p w:rsidR="005457AF" w:rsidRDefault="005457AF" w:rsidP="005457AF">
      <w:pPr>
        <w:pStyle w:val="ListParagraph"/>
        <w:rPr>
          <w:rFonts w:ascii="Tw Cen MT" w:hAnsi="Tw Cen MT"/>
          <w:b/>
          <w:sz w:val="24"/>
          <w:szCs w:val="24"/>
        </w:rPr>
      </w:pPr>
    </w:p>
    <w:p w:rsidR="005457AF" w:rsidRPr="00B0118C" w:rsidRDefault="005457AF" w:rsidP="005457AF">
      <w:pPr>
        <w:ind w:left="720"/>
        <w:rPr>
          <w:rFonts w:ascii="Tw Cen MT" w:hAnsi="Tw Cen MT"/>
          <w:sz w:val="24"/>
          <w:szCs w:val="24"/>
        </w:rPr>
      </w:pPr>
      <w:r w:rsidRPr="00B0118C">
        <w:rPr>
          <w:rFonts w:ascii="Tw Cen MT" w:hAnsi="Tw Cen MT"/>
          <w:sz w:val="24"/>
          <w:szCs w:val="24"/>
        </w:rPr>
        <w:t xml:space="preserve">Committee Members Present: Irene Riley, Azalea Renfield, </w:t>
      </w:r>
      <w:r>
        <w:rPr>
          <w:rFonts w:ascii="Tw Cen MT" w:hAnsi="Tw Cen MT"/>
          <w:sz w:val="24"/>
          <w:szCs w:val="24"/>
        </w:rPr>
        <w:t>Mick Del Rosario, Rena Ilasa, Clint Loftman, Emma Kelsey</w:t>
      </w:r>
    </w:p>
    <w:p w:rsidR="005457AF" w:rsidRPr="00B0118C" w:rsidRDefault="005457AF" w:rsidP="005457AF">
      <w:pPr>
        <w:rPr>
          <w:rFonts w:ascii="Tw Cen MT" w:hAnsi="Tw Cen MT"/>
          <w:sz w:val="24"/>
          <w:szCs w:val="24"/>
        </w:rPr>
      </w:pPr>
    </w:p>
    <w:p w:rsidR="005457AF" w:rsidRPr="00501762" w:rsidRDefault="005457AF" w:rsidP="005457AF">
      <w:pPr>
        <w:ind w:left="720"/>
        <w:rPr>
          <w:rFonts w:ascii="Tw Cen MT" w:hAnsi="Tw Cen MT"/>
          <w:sz w:val="24"/>
          <w:szCs w:val="24"/>
        </w:rPr>
      </w:pPr>
      <w:r w:rsidRPr="00B0118C">
        <w:rPr>
          <w:rFonts w:ascii="Tw Cen MT" w:hAnsi="Tw Cen MT"/>
          <w:sz w:val="24"/>
          <w:szCs w:val="24"/>
        </w:rPr>
        <w:t>City Staff in Attendance: Brian Cheu (MOHCD), Pierre Stroud (MOHCD), David Taylor (OEWD), Angel Cardoz (OEWD</w:t>
      </w:r>
      <w:r>
        <w:rPr>
          <w:rFonts w:ascii="Tw Cen MT" w:hAnsi="Tw Cen MT"/>
          <w:sz w:val="24"/>
          <w:szCs w:val="24"/>
        </w:rPr>
        <w:t>), Glenn Eagleson (OEWD), Quincy Williams (OEWD), Olivia Lenson (HSH), Alan Guttirez (HSH)</w:t>
      </w:r>
    </w:p>
    <w:p w:rsidR="005457AF" w:rsidRPr="00460399" w:rsidRDefault="005457AF" w:rsidP="005457AF">
      <w:pPr>
        <w:rPr>
          <w:rFonts w:ascii="Tw Cen MT" w:hAnsi="Tw Cen MT"/>
          <w:sz w:val="24"/>
          <w:szCs w:val="24"/>
        </w:rPr>
      </w:pPr>
    </w:p>
    <w:p w:rsidR="005457AF" w:rsidRDefault="005457AF" w:rsidP="005457AF">
      <w:pPr>
        <w:pStyle w:val="ListParagraph"/>
        <w:numPr>
          <w:ilvl w:val="0"/>
          <w:numId w:val="20"/>
        </w:numPr>
        <w:rPr>
          <w:rFonts w:ascii="Tw Cen MT" w:hAnsi="Tw Cen MT"/>
          <w:sz w:val="24"/>
          <w:szCs w:val="24"/>
        </w:rPr>
      </w:pPr>
      <w:r w:rsidRPr="00460399">
        <w:rPr>
          <w:rFonts w:ascii="Tw Cen MT" w:hAnsi="Tw Cen MT"/>
          <w:b/>
          <w:sz w:val="24"/>
          <w:szCs w:val="24"/>
        </w:rPr>
        <w:t>Director’s Report</w:t>
      </w:r>
    </w:p>
    <w:p w:rsidR="005457AF" w:rsidRPr="00E43450" w:rsidRDefault="005457AF" w:rsidP="005457AF">
      <w:pPr>
        <w:pStyle w:val="ListParagraph"/>
        <w:rPr>
          <w:rFonts w:ascii="Tw Cen MT" w:hAnsi="Tw Cen MT"/>
          <w:sz w:val="24"/>
          <w:szCs w:val="24"/>
        </w:rPr>
      </w:pPr>
    </w:p>
    <w:p w:rsidR="005457AF" w:rsidRPr="00613991" w:rsidRDefault="005457AF" w:rsidP="005457AF">
      <w:pPr>
        <w:pStyle w:val="ListParagraph"/>
        <w:numPr>
          <w:ilvl w:val="0"/>
          <w:numId w:val="23"/>
        </w:numPr>
        <w:rPr>
          <w:rFonts w:ascii="Tw Cen MT" w:hAnsi="Tw Cen MT"/>
          <w:sz w:val="24"/>
          <w:szCs w:val="24"/>
        </w:rPr>
      </w:pPr>
      <w:r w:rsidRPr="003406B2">
        <w:rPr>
          <w:rFonts w:ascii="Tw Cen MT" w:hAnsi="Tw Cen MT"/>
          <w:sz w:val="24"/>
          <w:szCs w:val="24"/>
        </w:rPr>
        <w:t>Committee Seats:</w:t>
      </w:r>
      <w:r>
        <w:rPr>
          <w:rFonts w:ascii="Tw Cen MT" w:hAnsi="Tw Cen MT"/>
          <w:i/>
          <w:sz w:val="24"/>
          <w:szCs w:val="24"/>
        </w:rPr>
        <w:t xml:space="preserve"> </w:t>
      </w:r>
      <w:r w:rsidRPr="00535B5E">
        <w:rPr>
          <w:rFonts w:ascii="Tw Cen MT" w:hAnsi="Tw Cen MT"/>
          <w:sz w:val="24"/>
          <w:szCs w:val="24"/>
        </w:rPr>
        <w:t>Reappointment of Clint Loftman and Azalea Renfield by the BOS Rules Committee</w:t>
      </w:r>
      <w:r>
        <w:rPr>
          <w:rFonts w:ascii="Tw Cen MT" w:hAnsi="Tw Cen MT"/>
          <w:sz w:val="24"/>
          <w:szCs w:val="24"/>
        </w:rPr>
        <w:t xml:space="preserve"> happened on Monday, March 14th</w:t>
      </w:r>
      <w:r w:rsidRPr="00535B5E">
        <w:rPr>
          <w:rFonts w:ascii="Tw Cen MT" w:hAnsi="Tw Cen MT"/>
          <w:sz w:val="24"/>
          <w:szCs w:val="24"/>
        </w:rPr>
        <w:t>; Aileen Hernandez has left the committee, as she is moving to Sacramento; Emma Kelsey will be leaving committee and has not applied for re-appointment; we now have three vacancies (two BOS seats, one MYR) and are looking for new members; we particularly need representation from the Latinx community</w:t>
      </w:r>
      <w:r>
        <w:rPr>
          <w:rFonts w:ascii="Tw Cen MT" w:hAnsi="Tw Cen MT"/>
          <w:sz w:val="24"/>
          <w:szCs w:val="24"/>
        </w:rPr>
        <w:t>, Brian can send people a “job description” for CCCD members.</w:t>
      </w:r>
    </w:p>
    <w:p w:rsidR="005457AF" w:rsidRPr="00613991" w:rsidRDefault="005457AF" w:rsidP="005457AF">
      <w:pPr>
        <w:pStyle w:val="ListParagraph"/>
        <w:rPr>
          <w:rFonts w:ascii="Tw Cen MT" w:hAnsi="Tw Cen MT"/>
          <w:sz w:val="24"/>
          <w:szCs w:val="24"/>
        </w:rPr>
      </w:pPr>
    </w:p>
    <w:p w:rsidR="005457AF" w:rsidRPr="00460399" w:rsidRDefault="005457AF" w:rsidP="005457AF">
      <w:pPr>
        <w:pStyle w:val="ListParagraph"/>
        <w:numPr>
          <w:ilvl w:val="0"/>
          <w:numId w:val="23"/>
        </w:numPr>
        <w:rPr>
          <w:rFonts w:ascii="Tw Cen MT" w:hAnsi="Tw Cen MT"/>
          <w:sz w:val="24"/>
          <w:szCs w:val="24"/>
        </w:rPr>
      </w:pPr>
      <w:r>
        <w:rPr>
          <w:rFonts w:ascii="Tw Cen MT" w:hAnsi="Tw Cen MT"/>
          <w:sz w:val="24"/>
          <w:szCs w:val="24"/>
        </w:rPr>
        <w:t>Committee Meetings: Committee not shifting back to in-person meetings yet; Brian and Pierre described hybrid meeting model, which will be implemented with the CCCD at some point this year; we will keep committee members updated.</w:t>
      </w:r>
    </w:p>
    <w:p w:rsidR="005457AF" w:rsidRPr="00460399" w:rsidRDefault="005457AF" w:rsidP="005457AF">
      <w:pPr>
        <w:rPr>
          <w:rFonts w:ascii="Tw Cen MT" w:hAnsi="Tw Cen MT"/>
          <w:sz w:val="24"/>
          <w:szCs w:val="24"/>
        </w:rPr>
      </w:pPr>
    </w:p>
    <w:p w:rsidR="005457AF" w:rsidRPr="00DB30DB" w:rsidRDefault="005457AF" w:rsidP="005457AF">
      <w:pPr>
        <w:pStyle w:val="ListParagraph"/>
        <w:numPr>
          <w:ilvl w:val="0"/>
          <w:numId w:val="20"/>
        </w:numPr>
        <w:rPr>
          <w:rFonts w:ascii="Tw Cen MT" w:hAnsi="Tw Cen MT"/>
          <w:sz w:val="24"/>
          <w:szCs w:val="24"/>
        </w:rPr>
      </w:pPr>
      <w:r w:rsidRPr="00460399">
        <w:rPr>
          <w:rFonts w:ascii="Tw Cen MT" w:hAnsi="Tw Cen MT"/>
          <w:b/>
          <w:sz w:val="24"/>
          <w:szCs w:val="24"/>
        </w:rPr>
        <w:t>Committee Members’ Report</w:t>
      </w:r>
      <w:r w:rsidRPr="00460399">
        <w:rPr>
          <w:rFonts w:ascii="Tw Cen MT" w:hAnsi="Tw Cen MT"/>
          <w:sz w:val="24"/>
          <w:szCs w:val="24"/>
        </w:rPr>
        <w:t xml:space="preserve"> </w:t>
      </w:r>
      <w:r w:rsidRPr="00460399">
        <w:rPr>
          <w:rFonts w:ascii="Tw Cen MT" w:hAnsi="Tw Cen MT"/>
          <w:i/>
          <w:sz w:val="24"/>
          <w:szCs w:val="24"/>
        </w:rPr>
        <w:t>(Discussion Item)</w:t>
      </w:r>
    </w:p>
    <w:p w:rsidR="005457AF" w:rsidRDefault="005457AF" w:rsidP="005457AF">
      <w:pPr>
        <w:pStyle w:val="ListParagraph"/>
        <w:rPr>
          <w:rFonts w:ascii="Tw Cen MT" w:hAnsi="Tw Cen MT"/>
          <w:b/>
          <w:sz w:val="24"/>
          <w:szCs w:val="24"/>
        </w:rPr>
      </w:pPr>
    </w:p>
    <w:p w:rsidR="005457AF" w:rsidRPr="00501762" w:rsidRDefault="005457AF" w:rsidP="005457AF">
      <w:pPr>
        <w:pStyle w:val="ListParagraph"/>
        <w:rPr>
          <w:rFonts w:ascii="Tw Cen MT" w:hAnsi="Tw Cen MT"/>
          <w:sz w:val="24"/>
          <w:szCs w:val="24"/>
        </w:rPr>
      </w:pPr>
      <w:r>
        <w:rPr>
          <w:rFonts w:ascii="Tw Cen MT" w:hAnsi="Tw Cen MT"/>
          <w:sz w:val="24"/>
          <w:szCs w:val="24"/>
        </w:rPr>
        <w:t>None</w:t>
      </w:r>
    </w:p>
    <w:p w:rsidR="005457AF" w:rsidRPr="00501762" w:rsidRDefault="005457AF" w:rsidP="005457AF">
      <w:pPr>
        <w:pStyle w:val="ListParagraph"/>
        <w:rPr>
          <w:rFonts w:ascii="Tw Cen MT" w:hAnsi="Tw Cen MT"/>
          <w:sz w:val="24"/>
          <w:szCs w:val="24"/>
        </w:rPr>
      </w:pPr>
    </w:p>
    <w:p w:rsidR="005457AF" w:rsidRDefault="005457AF" w:rsidP="005457AF">
      <w:pPr>
        <w:pStyle w:val="ListParagraph"/>
        <w:numPr>
          <w:ilvl w:val="0"/>
          <w:numId w:val="20"/>
        </w:numPr>
        <w:rPr>
          <w:rFonts w:ascii="Tw Cen MT" w:hAnsi="Tw Cen MT"/>
          <w:sz w:val="24"/>
          <w:szCs w:val="24"/>
        </w:rPr>
      </w:pPr>
      <w:r w:rsidRPr="00460399">
        <w:rPr>
          <w:rFonts w:ascii="Tw Cen MT" w:hAnsi="Tw Cen MT"/>
          <w:b/>
          <w:sz w:val="24"/>
          <w:szCs w:val="24"/>
        </w:rPr>
        <w:t>Approve Minutes of October 19, 2021 Meeting</w:t>
      </w:r>
    </w:p>
    <w:p w:rsidR="005457AF" w:rsidRDefault="005457AF" w:rsidP="005457AF">
      <w:pPr>
        <w:pStyle w:val="ListParagraph"/>
        <w:rPr>
          <w:rFonts w:ascii="Tw Cen MT" w:hAnsi="Tw Cen MT"/>
          <w:sz w:val="24"/>
          <w:szCs w:val="24"/>
        </w:rPr>
      </w:pPr>
    </w:p>
    <w:p w:rsidR="005457AF" w:rsidRPr="00501762" w:rsidRDefault="005457AF" w:rsidP="005457AF">
      <w:pPr>
        <w:pStyle w:val="ListParagraph"/>
        <w:rPr>
          <w:rFonts w:ascii="Tw Cen MT" w:hAnsi="Tw Cen MT"/>
          <w:sz w:val="24"/>
          <w:szCs w:val="24"/>
        </w:rPr>
      </w:pPr>
      <w:r>
        <w:rPr>
          <w:rFonts w:ascii="Tw Cen MT" w:hAnsi="Tw Cen MT"/>
          <w:sz w:val="24"/>
          <w:szCs w:val="24"/>
        </w:rPr>
        <w:lastRenderedPageBreak/>
        <w:t>Clint Loftman moved to approve minutes, Azalea Renfield seconded, unanimously approved</w:t>
      </w:r>
      <w:r w:rsidR="00B235EC">
        <w:rPr>
          <w:rFonts w:ascii="Tw Cen MT" w:hAnsi="Tw Cen MT"/>
          <w:sz w:val="24"/>
          <w:szCs w:val="24"/>
        </w:rPr>
        <w:t xml:space="preserve"> by the committee.</w:t>
      </w:r>
    </w:p>
    <w:p w:rsidR="005457AF" w:rsidRPr="00460399" w:rsidRDefault="005457AF" w:rsidP="005457AF">
      <w:pPr>
        <w:rPr>
          <w:rFonts w:ascii="Tw Cen MT" w:hAnsi="Tw Cen MT"/>
          <w:sz w:val="24"/>
          <w:szCs w:val="24"/>
        </w:rPr>
      </w:pPr>
    </w:p>
    <w:p w:rsidR="005457AF" w:rsidRPr="00613991" w:rsidRDefault="005457AF" w:rsidP="005457AF">
      <w:pPr>
        <w:pStyle w:val="ListParagraph"/>
        <w:numPr>
          <w:ilvl w:val="0"/>
          <w:numId w:val="20"/>
        </w:numPr>
        <w:rPr>
          <w:rFonts w:ascii="Tw Cen MT" w:hAnsi="Tw Cen MT"/>
          <w:sz w:val="24"/>
          <w:szCs w:val="24"/>
        </w:rPr>
      </w:pPr>
      <w:r w:rsidRPr="00460399">
        <w:rPr>
          <w:rFonts w:ascii="Tw Cen MT" w:hAnsi="Tw Cen MT"/>
          <w:b/>
          <w:sz w:val="24"/>
          <w:szCs w:val="24"/>
        </w:rPr>
        <w:t>Discuss February 2</w:t>
      </w:r>
      <w:r w:rsidRPr="00460399">
        <w:rPr>
          <w:rFonts w:ascii="Tw Cen MT" w:hAnsi="Tw Cen MT"/>
          <w:b/>
          <w:sz w:val="24"/>
          <w:szCs w:val="24"/>
          <w:vertAlign w:val="superscript"/>
        </w:rPr>
        <w:t>nd</w:t>
      </w:r>
      <w:r w:rsidRPr="00460399">
        <w:rPr>
          <w:rFonts w:ascii="Tw Cen MT" w:hAnsi="Tw Cen MT"/>
          <w:b/>
          <w:sz w:val="24"/>
          <w:szCs w:val="24"/>
        </w:rPr>
        <w:t xml:space="preserve"> Public Needs Hearing</w:t>
      </w:r>
      <w:r w:rsidRPr="00460399">
        <w:rPr>
          <w:rFonts w:ascii="Tw Cen MT" w:hAnsi="Tw Cen MT"/>
          <w:sz w:val="24"/>
          <w:szCs w:val="24"/>
        </w:rPr>
        <w:t xml:space="preserve"> </w:t>
      </w:r>
      <w:r w:rsidRPr="00460399">
        <w:rPr>
          <w:rFonts w:ascii="Tw Cen MT" w:hAnsi="Tw Cen MT"/>
          <w:i/>
          <w:sz w:val="24"/>
          <w:szCs w:val="24"/>
        </w:rPr>
        <w:t>(Discussion Item)</w:t>
      </w:r>
    </w:p>
    <w:p w:rsidR="005457AF" w:rsidRPr="00613991" w:rsidRDefault="005457AF" w:rsidP="005457AF">
      <w:pPr>
        <w:pStyle w:val="ListParagraph"/>
        <w:rPr>
          <w:rFonts w:ascii="Tw Cen MT" w:hAnsi="Tw Cen MT"/>
          <w:sz w:val="24"/>
          <w:szCs w:val="24"/>
        </w:rPr>
      </w:pPr>
    </w:p>
    <w:p w:rsidR="005457AF" w:rsidRDefault="005457AF" w:rsidP="005457AF">
      <w:pPr>
        <w:pStyle w:val="ListParagraph"/>
        <w:rPr>
          <w:rFonts w:ascii="Tw Cen MT" w:hAnsi="Tw Cen MT"/>
          <w:sz w:val="24"/>
          <w:szCs w:val="24"/>
        </w:rPr>
      </w:pPr>
      <w:r>
        <w:rPr>
          <w:rFonts w:ascii="Tw Cen MT" w:hAnsi="Tw Cen MT"/>
          <w:sz w:val="24"/>
          <w:szCs w:val="24"/>
        </w:rPr>
        <w:t>Brian reviewed the logistics of the three separate meetings in English, Spanish and Chinese, then asked for committee feedback</w:t>
      </w:r>
    </w:p>
    <w:p w:rsidR="005457AF" w:rsidRDefault="005457AF" w:rsidP="005457AF">
      <w:pPr>
        <w:pStyle w:val="ListParagraph"/>
        <w:rPr>
          <w:rFonts w:ascii="Tw Cen MT" w:hAnsi="Tw Cen MT"/>
          <w:sz w:val="24"/>
          <w:szCs w:val="24"/>
        </w:rPr>
      </w:pPr>
    </w:p>
    <w:p w:rsidR="005457AF" w:rsidRPr="00AC292E" w:rsidRDefault="005457AF" w:rsidP="005457AF">
      <w:pPr>
        <w:pStyle w:val="ListParagraph"/>
        <w:rPr>
          <w:rFonts w:ascii="Tw Cen MT" w:hAnsi="Tw Cen MT"/>
          <w:sz w:val="24"/>
          <w:szCs w:val="24"/>
        </w:rPr>
      </w:pPr>
      <w:r>
        <w:rPr>
          <w:rFonts w:ascii="Tw Cen MT" w:hAnsi="Tw Cen MT"/>
          <w:sz w:val="24"/>
          <w:szCs w:val="24"/>
        </w:rPr>
        <w:t xml:space="preserve">Clint Loftman– there were a few logistical problems at the beginning (people had some trouble getting on, getting to the right room, etc.); Brian noted that </w:t>
      </w:r>
      <w:r w:rsidRPr="00AC292E">
        <w:rPr>
          <w:rFonts w:ascii="Tw Cen MT" w:hAnsi="Tw Cen MT"/>
          <w:sz w:val="24"/>
          <w:szCs w:val="24"/>
        </w:rPr>
        <w:t xml:space="preserve">one reason for the technical difficulties encountered was a CBO staff registering once, then sending that link to </w:t>
      </w:r>
      <w:r w:rsidR="00E456DD">
        <w:rPr>
          <w:rFonts w:ascii="Tw Cen MT" w:hAnsi="Tw Cen MT"/>
          <w:sz w:val="24"/>
          <w:szCs w:val="24"/>
        </w:rPr>
        <w:t>a number</w:t>
      </w:r>
      <w:r w:rsidRPr="00AC292E">
        <w:rPr>
          <w:rFonts w:ascii="Tw Cen MT" w:hAnsi="Tw Cen MT"/>
          <w:sz w:val="24"/>
          <w:szCs w:val="24"/>
        </w:rPr>
        <w:t xml:space="preserve"> of their clients, which meant th</w:t>
      </w:r>
      <w:r>
        <w:rPr>
          <w:rFonts w:ascii="Tw Cen MT" w:hAnsi="Tw Cen MT"/>
          <w:sz w:val="24"/>
          <w:szCs w:val="24"/>
        </w:rPr>
        <w:t>ose clients had issues trying to</w:t>
      </w:r>
      <w:r w:rsidRPr="00AC292E">
        <w:rPr>
          <w:rFonts w:ascii="Tw Cen MT" w:hAnsi="Tw Cen MT"/>
          <w:sz w:val="24"/>
          <w:szCs w:val="24"/>
        </w:rPr>
        <w:t xml:space="preserve"> log in</w:t>
      </w:r>
      <w:r w:rsidR="00E456DD">
        <w:rPr>
          <w:rFonts w:ascii="Tw Cen MT" w:hAnsi="Tw Cen MT"/>
          <w:sz w:val="24"/>
          <w:szCs w:val="24"/>
        </w:rPr>
        <w:t>.</w:t>
      </w:r>
    </w:p>
    <w:p w:rsidR="005457AF" w:rsidRDefault="005457AF" w:rsidP="005457AF">
      <w:pPr>
        <w:pStyle w:val="ListParagraph"/>
        <w:rPr>
          <w:rFonts w:ascii="Tw Cen MT" w:hAnsi="Tw Cen MT"/>
          <w:sz w:val="24"/>
          <w:szCs w:val="24"/>
        </w:rPr>
      </w:pPr>
    </w:p>
    <w:p w:rsidR="005457AF" w:rsidRDefault="005457AF" w:rsidP="005457AF">
      <w:pPr>
        <w:pStyle w:val="ListParagraph"/>
        <w:rPr>
          <w:rFonts w:ascii="Tw Cen MT" w:hAnsi="Tw Cen MT"/>
          <w:sz w:val="24"/>
          <w:szCs w:val="24"/>
        </w:rPr>
      </w:pPr>
      <w:r>
        <w:rPr>
          <w:rFonts w:ascii="Tw Cen MT" w:hAnsi="Tw Cen MT"/>
          <w:sz w:val="24"/>
          <w:szCs w:val="24"/>
        </w:rPr>
        <w:t>David Taylor (OEWD)– Noted that this hearing was shorter than they have been the last two years; due to continued funding groups weren’t as motivated to turn out clients</w:t>
      </w:r>
      <w:r w:rsidR="00E456DD">
        <w:rPr>
          <w:rFonts w:ascii="Tw Cen MT" w:hAnsi="Tw Cen MT"/>
          <w:sz w:val="24"/>
          <w:szCs w:val="24"/>
        </w:rPr>
        <w:t>.</w:t>
      </w:r>
      <w:r>
        <w:rPr>
          <w:rFonts w:ascii="Tw Cen MT" w:hAnsi="Tw Cen MT"/>
          <w:sz w:val="24"/>
          <w:szCs w:val="24"/>
        </w:rPr>
        <w:t xml:space="preserve"> </w:t>
      </w:r>
    </w:p>
    <w:p w:rsidR="005457AF" w:rsidRDefault="005457AF" w:rsidP="005457AF">
      <w:pPr>
        <w:pStyle w:val="ListParagraph"/>
        <w:rPr>
          <w:rFonts w:ascii="Tw Cen MT" w:hAnsi="Tw Cen MT"/>
          <w:sz w:val="24"/>
          <w:szCs w:val="24"/>
        </w:rPr>
      </w:pPr>
    </w:p>
    <w:p w:rsidR="005457AF" w:rsidRDefault="005457AF" w:rsidP="005457AF">
      <w:pPr>
        <w:pStyle w:val="ListParagraph"/>
        <w:rPr>
          <w:rFonts w:ascii="Tw Cen MT" w:hAnsi="Tw Cen MT"/>
          <w:sz w:val="24"/>
          <w:szCs w:val="24"/>
        </w:rPr>
      </w:pPr>
      <w:r>
        <w:rPr>
          <w:rFonts w:ascii="Tw Cen MT" w:hAnsi="Tw Cen MT"/>
          <w:sz w:val="24"/>
          <w:szCs w:val="24"/>
        </w:rPr>
        <w:t>Angel Cardoz (OEWD) – Spanish group went longer because some people commented multiple times</w:t>
      </w:r>
      <w:r w:rsidR="00E456DD">
        <w:rPr>
          <w:rFonts w:ascii="Tw Cen MT" w:hAnsi="Tw Cen MT"/>
          <w:sz w:val="24"/>
          <w:szCs w:val="24"/>
        </w:rPr>
        <w:t>.</w:t>
      </w:r>
    </w:p>
    <w:p w:rsidR="005457AF" w:rsidRDefault="005457AF" w:rsidP="005457AF">
      <w:pPr>
        <w:pStyle w:val="ListParagraph"/>
        <w:rPr>
          <w:rFonts w:ascii="Tw Cen MT" w:hAnsi="Tw Cen MT"/>
          <w:sz w:val="24"/>
          <w:szCs w:val="24"/>
        </w:rPr>
      </w:pPr>
    </w:p>
    <w:p w:rsidR="005457AF" w:rsidRDefault="005457AF" w:rsidP="005457AF">
      <w:pPr>
        <w:pStyle w:val="ListParagraph"/>
        <w:rPr>
          <w:rFonts w:ascii="Tw Cen MT" w:hAnsi="Tw Cen MT"/>
          <w:sz w:val="24"/>
          <w:szCs w:val="24"/>
        </w:rPr>
      </w:pPr>
      <w:r>
        <w:rPr>
          <w:rFonts w:ascii="Tw Cen MT" w:hAnsi="Tw Cen MT"/>
          <w:sz w:val="24"/>
          <w:szCs w:val="24"/>
        </w:rPr>
        <w:t>Clint Loftman – in the public comment a resident said the city is providing funding for people to enter BMR housing, but not to sustain them?  Brian said this was an issue – for instance, HOA fees can rise beyond BMR residents’ ability to pay, but we are not able to regulate that</w:t>
      </w:r>
      <w:r w:rsidR="00E456DD">
        <w:rPr>
          <w:rFonts w:ascii="Tw Cen MT" w:hAnsi="Tw Cen MT"/>
          <w:sz w:val="24"/>
          <w:szCs w:val="24"/>
        </w:rPr>
        <w:t>.</w:t>
      </w:r>
    </w:p>
    <w:p w:rsidR="005457AF" w:rsidRDefault="005457AF" w:rsidP="005457AF">
      <w:pPr>
        <w:pStyle w:val="ListParagraph"/>
        <w:rPr>
          <w:rFonts w:ascii="Tw Cen MT" w:hAnsi="Tw Cen MT"/>
          <w:sz w:val="24"/>
          <w:szCs w:val="24"/>
        </w:rPr>
      </w:pPr>
    </w:p>
    <w:p w:rsidR="005457AF" w:rsidRDefault="005457AF" w:rsidP="005457AF">
      <w:pPr>
        <w:pStyle w:val="ListParagraph"/>
        <w:rPr>
          <w:rFonts w:ascii="Tw Cen MT" w:hAnsi="Tw Cen MT"/>
          <w:sz w:val="24"/>
          <w:szCs w:val="24"/>
        </w:rPr>
      </w:pPr>
      <w:r>
        <w:rPr>
          <w:rFonts w:ascii="Tw Cen MT" w:hAnsi="Tw Cen MT"/>
          <w:sz w:val="24"/>
          <w:szCs w:val="24"/>
        </w:rPr>
        <w:t>Irene Riley – attended Chinese meeting, only had two public comments; interpreters needed more background before meeting; Brian noted that technical and policy language can be difficult for interpreters</w:t>
      </w:r>
      <w:r w:rsidR="00E456DD">
        <w:rPr>
          <w:rFonts w:ascii="Tw Cen MT" w:hAnsi="Tw Cen MT"/>
          <w:sz w:val="24"/>
          <w:szCs w:val="24"/>
        </w:rPr>
        <w:t xml:space="preserve"> and</w:t>
      </w:r>
      <w:r>
        <w:rPr>
          <w:rFonts w:ascii="Tw Cen MT" w:hAnsi="Tw Cen MT"/>
          <w:sz w:val="24"/>
          <w:szCs w:val="24"/>
        </w:rPr>
        <w:t xml:space="preserve"> this is why we have our bilingual staff present at the beginning of these meetings</w:t>
      </w:r>
      <w:r w:rsidR="00E456DD">
        <w:rPr>
          <w:rFonts w:ascii="Tw Cen MT" w:hAnsi="Tw Cen MT"/>
          <w:sz w:val="24"/>
          <w:szCs w:val="24"/>
        </w:rPr>
        <w:t>.</w:t>
      </w:r>
    </w:p>
    <w:p w:rsidR="005457AF" w:rsidRDefault="005457AF" w:rsidP="005457AF">
      <w:pPr>
        <w:pStyle w:val="ListParagraph"/>
        <w:rPr>
          <w:rFonts w:ascii="Tw Cen MT" w:hAnsi="Tw Cen MT"/>
          <w:sz w:val="24"/>
          <w:szCs w:val="24"/>
        </w:rPr>
      </w:pPr>
    </w:p>
    <w:p w:rsidR="005457AF" w:rsidRPr="00460399" w:rsidRDefault="005457AF" w:rsidP="005457AF">
      <w:pPr>
        <w:pStyle w:val="ListParagraph"/>
        <w:rPr>
          <w:rFonts w:ascii="Tw Cen MT" w:hAnsi="Tw Cen MT"/>
          <w:sz w:val="24"/>
          <w:szCs w:val="24"/>
        </w:rPr>
      </w:pPr>
      <w:r>
        <w:rPr>
          <w:rFonts w:ascii="Tw Cen MT" w:hAnsi="Tw Cen MT"/>
          <w:sz w:val="24"/>
          <w:szCs w:val="24"/>
        </w:rPr>
        <w:t>Next public hearing on Thursday, April 7</w:t>
      </w:r>
      <w:r w:rsidRPr="00483BBC">
        <w:rPr>
          <w:rFonts w:ascii="Tw Cen MT" w:hAnsi="Tw Cen MT"/>
          <w:sz w:val="24"/>
          <w:szCs w:val="24"/>
          <w:vertAlign w:val="superscript"/>
        </w:rPr>
        <w:t>th</w:t>
      </w:r>
      <w:r>
        <w:rPr>
          <w:rFonts w:ascii="Tw Cen MT" w:hAnsi="Tw Cen MT"/>
          <w:sz w:val="24"/>
          <w:szCs w:val="24"/>
        </w:rPr>
        <w:t xml:space="preserve"> at 5pm; </w:t>
      </w:r>
      <w:r w:rsidR="00E456DD">
        <w:rPr>
          <w:rFonts w:ascii="Tw Cen MT" w:hAnsi="Tw Cen MT"/>
          <w:sz w:val="24"/>
          <w:szCs w:val="24"/>
        </w:rPr>
        <w:t>Staff</w:t>
      </w:r>
      <w:r>
        <w:rPr>
          <w:rFonts w:ascii="Tw Cen MT" w:hAnsi="Tw Cen MT"/>
          <w:sz w:val="24"/>
          <w:szCs w:val="24"/>
        </w:rPr>
        <w:t xml:space="preserve"> send out invitation for that to committee members and city staff soon</w:t>
      </w:r>
    </w:p>
    <w:p w:rsidR="005457AF" w:rsidRPr="00460399" w:rsidRDefault="005457AF" w:rsidP="005457AF">
      <w:pPr>
        <w:pStyle w:val="ListParagraph"/>
        <w:rPr>
          <w:rFonts w:ascii="Tw Cen MT" w:hAnsi="Tw Cen MT"/>
          <w:sz w:val="24"/>
          <w:szCs w:val="24"/>
        </w:rPr>
      </w:pPr>
    </w:p>
    <w:p w:rsidR="005457AF" w:rsidRPr="00CC2E6B" w:rsidRDefault="005457AF" w:rsidP="005457AF">
      <w:pPr>
        <w:pStyle w:val="ListParagraph"/>
        <w:numPr>
          <w:ilvl w:val="0"/>
          <w:numId w:val="20"/>
        </w:numPr>
        <w:rPr>
          <w:rFonts w:ascii="Tw Cen MT" w:hAnsi="Tw Cen MT"/>
          <w:sz w:val="24"/>
          <w:szCs w:val="24"/>
        </w:rPr>
      </w:pPr>
      <w:r w:rsidRPr="00460399">
        <w:rPr>
          <w:rFonts w:ascii="Tw Cen MT" w:hAnsi="Tw Cen MT"/>
          <w:b/>
          <w:sz w:val="24"/>
          <w:szCs w:val="24"/>
        </w:rPr>
        <w:t>Approve Preliminary HUD Funding Recommendations for FY 2022-23</w:t>
      </w:r>
      <w:r>
        <w:rPr>
          <w:rFonts w:ascii="Tw Cen MT" w:hAnsi="Tw Cen MT"/>
          <w:sz w:val="24"/>
          <w:szCs w:val="24"/>
        </w:rPr>
        <w:t xml:space="preserve"> </w:t>
      </w:r>
      <w:r w:rsidRPr="00460399">
        <w:rPr>
          <w:rFonts w:ascii="Tw Cen MT" w:hAnsi="Tw Cen MT"/>
          <w:i/>
          <w:sz w:val="24"/>
          <w:szCs w:val="24"/>
        </w:rPr>
        <w:t>(Action Item)</w:t>
      </w:r>
    </w:p>
    <w:p w:rsidR="005457AF" w:rsidRDefault="005457AF" w:rsidP="005457AF">
      <w:pPr>
        <w:pStyle w:val="ListParagraph"/>
        <w:rPr>
          <w:rFonts w:ascii="Tw Cen MT" w:hAnsi="Tw Cen MT"/>
          <w:b/>
          <w:sz w:val="24"/>
          <w:szCs w:val="24"/>
        </w:rPr>
      </w:pPr>
    </w:p>
    <w:p w:rsidR="005457AF" w:rsidRDefault="005457AF" w:rsidP="005457AF">
      <w:pPr>
        <w:pStyle w:val="ListParagraph"/>
        <w:rPr>
          <w:rFonts w:ascii="Tw Cen MT" w:hAnsi="Tw Cen MT"/>
          <w:sz w:val="24"/>
          <w:szCs w:val="24"/>
        </w:rPr>
      </w:pPr>
      <w:r>
        <w:rPr>
          <w:rFonts w:ascii="Tw Cen MT" w:hAnsi="Tw Cen MT"/>
          <w:sz w:val="24"/>
          <w:szCs w:val="24"/>
        </w:rPr>
        <w:t xml:space="preserve">Brian provided overview of the previous two Request for Proposal (RFP) processes, for projects starting in 2019-20 and again for 2020-21.  For the upcoming 2022-23 year we are heading into the second year of two-year grant agreements, and are able to provide continuity and security of funding to our grantees.  </w:t>
      </w:r>
      <w:r w:rsidR="00B235EC">
        <w:rPr>
          <w:rFonts w:ascii="Tw Cen MT" w:hAnsi="Tw Cen MT"/>
          <w:sz w:val="24"/>
          <w:szCs w:val="24"/>
        </w:rPr>
        <w:t>These grantees have performed well in 2020-21.</w:t>
      </w:r>
    </w:p>
    <w:p w:rsidR="005457AF" w:rsidRDefault="005457AF" w:rsidP="005457AF">
      <w:pPr>
        <w:pStyle w:val="ListParagraph"/>
        <w:rPr>
          <w:rFonts w:ascii="Tw Cen MT" w:hAnsi="Tw Cen MT"/>
          <w:sz w:val="24"/>
          <w:szCs w:val="24"/>
        </w:rPr>
      </w:pPr>
    </w:p>
    <w:p w:rsidR="005457AF" w:rsidRPr="002C1573" w:rsidRDefault="005457AF" w:rsidP="005457AF">
      <w:pPr>
        <w:pStyle w:val="ListParagraph"/>
        <w:numPr>
          <w:ilvl w:val="0"/>
          <w:numId w:val="22"/>
        </w:numPr>
        <w:rPr>
          <w:rFonts w:ascii="Tw Cen MT" w:hAnsi="Tw Cen MT"/>
          <w:sz w:val="24"/>
          <w:szCs w:val="24"/>
          <w:u w:val="single"/>
        </w:rPr>
      </w:pPr>
      <w:r w:rsidRPr="002C1573">
        <w:rPr>
          <w:rFonts w:ascii="Tw Cen MT" w:hAnsi="Tw Cen MT"/>
          <w:sz w:val="24"/>
          <w:szCs w:val="24"/>
          <w:u w:val="single"/>
        </w:rPr>
        <w:t>MOHCD – Community Development Block Grant (CDBG) Recommendations</w:t>
      </w:r>
    </w:p>
    <w:p w:rsidR="005457AF" w:rsidRDefault="005457AF" w:rsidP="005457AF">
      <w:pPr>
        <w:pStyle w:val="ListParagraph"/>
        <w:ind w:left="1080"/>
        <w:rPr>
          <w:rFonts w:ascii="Tw Cen MT" w:hAnsi="Tw Cen MT"/>
          <w:sz w:val="24"/>
          <w:szCs w:val="24"/>
        </w:rPr>
      </w:pPr>
    </w:p>
    <w:p w:rsidR="005457AF" w:rsidRDefault="005457AF" w:rsidP="005457AF">
      <w:pPr>
        <w:pStyle w:val="ListParagraph"/>
        <w:rPr>
          <w:rFonts w:ascii="Tw Cen MT" w:hAnsi="Tw Cen MT"/>
          <w:sz w:val="24"/>
          <w:szCs w:val="24"/>
        </w:rPr>
      </w:pPr>
      <w:r>
        <w:rPr>
          <w:rFonts w:ascii="Tw Cen MT" w:hAnsi="Tw Cen MT"/>
          <w:sz w:val="24"/>
          <w:szCs w:val="24"/>
        </w:rPr>
        <w:t>Brian reviewed the criteria for allocating CDBG funding to our services grantees.  Due to the higher administrative and reporting requirements for federal funding, along with the possibility of federal audits and monitoring, MOHCD generally allocates CDBG funding to larger organizations with higher administrative capacity.  We also allocate funding to projects primarily serving residents of, one of the department’s six Neighborhood Revitalization Strategy Areas (NRSA’s) – Mission, Bayview, Visitacion Valley, Chinatown, SOMA, and Tenderloin.  This allows the department to exceed the 15% public services cap usually applied to CDBG awards.</w:t>
      </w:r>
    </w:p>
    <w:p w:rsidR="005457AF" w:rsidRDefault="005457AF" w:rsidP="005457AF">
      <w:pPr>
        <w:pStyle w:val="ListParagraph"/>
        <w:rPr>
          <w:rFonts w:ascii="Tw Cen MT" w:hAnsi="Tw Cen MT"/>
          <w:sz w:val="24"/>
          <w:szCs w:val="24"/>
        </w:rPr>
      </w:pPr>
    </w:p>
    <w:p w:rsidR="005457AF" w:rsidRDefault="005457AF" w:rsidP="005457AF">
      <w:pPr>
        <w:pStyle w:val="ListParagraph"/>
        <w:rPr>
          <w:rFonts w:ascii="Tw Cen MT" w:hAnsi="Tw Cen MT"/>
          <w:sz w:val="24"/>
          <w:szCs w:val="24"/>
        </w:rPr>
      </w:pPr>
      <w:r>
        <w:rPr>
          <w:rFonts w:ascii="Tw Cen MT" w:hAnsi="Tw Cen MT"/>
          <w:sz w:val="24"/>
          <w:szCs w:val="24"/>
        </w:rPr>
        <w:t>Brian then reviewed each project recommended for CDBG funding.</w:t>
      </w:r>
    </w:p>
    <w:p w:rsidR="005457AF" w:rsidRDefault="005457AF" w:rsidP="005457AF">
      <w:pPr>
        <w:pStyle w:val="ListParagraph"/>
        <w:rPr>
          <w:rFonts w:ascii="Tw Cen MT" w:hAnsi="Tw Cen MT"/>
          <w:sz w:val="24"/>
          <w:szCs w:val="24"/>
        </w:rPr>
      </w:pPr>
    </w:p>
    <w:p w:rsidR="005457AF" w:rsidRDefault="005457AF" w:rsidP="005457AF">
      <w:pPr>
        <w:pStyle w:val="ListParagraph"/>
        <w:rPr>
          <w:rFonts w:ascii="Tw Cen MT" w:hAnsi="Tw Cen MT"/>
          <w:sz w:val="24"/>
          <w:szCs w:val="24"/>
        </w:rPr>
      </w:pPr>
      <w:r>
        <w:rPr>
          <w:rFonts w:ascii="Tw Cen MT" w:hAnsi="Tw Cen MT"/>
          <w:sz w:val="24"/>
          <w:szCs w:val="24"/>
        </w:rPr>
        <w:lastRenderedPageBreak/>
        <w:t>Quincy Williams (OEWD) had a question regarding Earned Income.   Brian explained that we discourage this with federal projects, because of the complexity of the administration involved.</w:t>
      </w:r>
    </w:p>
    <w:p w:rsidR="005457AF" w:rsidRDefault="005457AF" w:rsidP="005457AF">
      <w:pPr>
        <w:pStyle w:val="ListParagraph"/>
        <w:rPr>
          <w:rFonts w:ascii="Tw Cen MT" w:hAnsi="Tw Cen MT"/>
          <w:sz w:val="24"/>
          <w:szCs w:val="24"/>
        </w:rPr>
      </w:pPr>
    </w:p>
    <w:p w:rsidR="005457AF" w:rsidRPr="001E1493" w:rsidRDefault="005457AF" w:rsidP="005457AF">
      <w:pPr>
        <w:pStyle w:val="ListParagraph"/>
        <w:rPr>
          <w:rFonts w:ascii="Tw Cen MT" w:hAnsi="Tw Cen MT"/>
          <w:b/>
          <w:sz w:val="24"/>
          <w:szCs w:val="24"/>
        </w:rPr>
      </w:pPr>
      <w:r w:rsidRPr="001E1493">
        <w:rPr>
          <w:rFonts w:ascii="Tw Cen MT" w:hAnsi="Tw Cen MT"/>
          <w:b/>
          <w:sz w:val="24"/>
          <w:szCs w:val="24"/>
        </w:rPr>
        <w:t xml:space="preserve">Motion to Approve 2022-23 </w:t>
      </w:r>
      <w:r>
        <w:rPr>
          <w:rFonts w:ascii="Tw Cen MT" w:hAnsi="Tw Cen MT"/>
          <w:b/>
          <w:sz w:val="24"/>
          <w:szCs w:val="24"/>
        </w:rPr>
        <w:t xml:space="preserve">MOHCD </w:t>
      </w:r>
      <w:r w:rsidRPr="001E1493">
        <w:rPr>
          <w:rFonts w:ascii="Tw Cen MT" w:hAnsi="Tw Cen MT"/>
          <w:b/>
          <w:sz w:val="24"/>
          <w:szCs w:val="24"/>
        </w:rPr>
        <w:t>CDBG Recommendations by Clint Loftman, seconded by Irene Riley, unanimously approved by the committee.</w:t>
      </w:r>
    </w:p>
    <w:p w:rsidR="005457AF" w:rsidRDefault="005457AF" w:rsidP="005457AF">
      <w:pPr>
        <w:pStyle w:val="ListParagraph"/>
        <w:rPr>
          <w:rFonts w:ascii="Tw Cen MT" w:hAnsi="Tw Cen MT"/>
          <w:sz w:val="24"/>
          <w:szCs w:val="24"/>
        </w:rPr>
      </w:pPr>
    </w:p>
    <w:p w:rsidR="005457AF" w:rsidRDefault="005457AF" w:rsidP="005457AF">
      <w:pPr>
        <w:pStyle w:val="ListParagraph"/>
        <w:rPr>
          <w:rFonts w:ascii="Tw Cen MT" w:hAnsi="Tw Cen MT"/>
          <w:sz w:val="24"/>
          <w:szCs w:val="24"/>
        </w:rPr>
      </w:pPr>
      <w:r>
        <w:rPr>
          <w:rFonts w:ascii="Tw Cen MT" w:hAnsi="Tw Cen MT"/>
          <w:sz w:val="24"/>
          <w:szCs w:val="24"/>
        </w:rPr>
        <w:t>Brian then explained the next set of steps in this process, from these preliminary recommendations, to the public hearing on April 7</w:t>
      </w:r>
      <w:r w:rsidRPr="00517011">
        <w:rPr>
          <w:rFonts w:ascii="Tw Cen MT" w:hAnsi="Tw Cen MT"/>
          <w:sz w:val="24"/>
          <w:szCs w:val="24"/>
          <w:vertAlign w:val="superscript"/>
        </w:rPr>
        <w:t>th</w:t>
      </w:r>
      <w:r>
        <w:rPr>
          <w:rFonts w:ascii="Tw Cen MT" w:hAnsi="Tw Cen MT"/>
          <w:sz w:val="24"/>
          <w:szCs w:val="24"/>
        </w:rPr>
        <w:t>, then the final recommendations being voted on by the committee.  After that the recommendations go to the Mayor’s Office, then the Board of Supervisors’ Budget and Finance subcommittee.  After they are voted on by the full Board of Supervisors, the city then finalizes its Action Plan and sends that to HUD for their approval.</w:t>
      </w:r>
    </w:p>
    <w:p w:rsidR="005457AF" w:rsidRDefault="005457AF" w:rsidP="005457AF">
      <w:pPr>
        <w:pStyle w:val="ListParagraph"/>
        <w:rPr>
          <w:rFonts w:ascii="Tw Cen MT" w:hAnsi="Tw Cen MT"/>
          <w:sz w:val="24"/>
          <w:szCs w:val="24"/>
        </w:rPr>
      </w:pPr>
    </w:p>
    <w:p w:rsidR="005457AF" w:rsidRPr="002C1573" w:rsidRDefault="005457AF" w:rsidP="005457AF">
      <w:pPr>
        <w:pStyle w:val="ListParagraph"/>
        <w:numPr>
          <w:ilvl w:val="0"/>
          <w:numId w:val="22"/>
        </w:numPr>
        <w:rPr>
          <w:rFonts w:ascii="Tw Cen MT" w:hAnsi="Tw Cen MT"/>
          <w:sz w:val="24"/>
          <w:szCs w:val="24"/>
          <w:u w:val="single"/>
        </w:rPr>
      </w:pPr>
      <w:r w:rsidRPr="002C1573">
        <w:rPr>
          <w:rFonts w:ascii="Tw Cen MT" w:hAnsi="Tw Cen MT"/>
          <w:sz w:val="24"/>
          <w:szCs w:val="24"/>
          <w:u w:val="single"/>
        </w:rPr>
        <w:t>MOHCD – HOPWA Recommendations</w:t>
      </w:r>
    </w:p>
    <w:p w:rsidR="005457AF" w:rsidRDefault="005457AF" w:rsidP="005457AF">
      <w:pPr>
        <w:ind w:left="720"/>
        <w:rPr>
          <w:rFonts w:ascii="Tw Cen MT" w:hAnsi="Tw Cen MT"/>
          <w:sz w:val="24"/>
          <w:szCs w:val="24"/>
        </w:rPr>
      </w:pPr>
    </w:p>
    <w:p w:rsidR="005457AF" w:rsidRDefault="005457AF" w:rsidP="005457AF">
      <w:pPr>
        <w:ind w:left="720"/>
        <w:rPr>
          <w:rFonts w:ascii="Tw Cen MT" w:hAnsi="Tw Cen MT"/>
          <w:sz w:val="24"/>
          <w:szCs w:val="24"/>
        </w:rPr>
      </w:pPr>
      <w:r>
        <w:rPr>
          <w:rFonts w:ascii="Tw Cen MT" w:hAnsi="Tw Cen MT"/>
          <w:sz w:val="24"/>
          <w:szCs w:val="24"/>
        </w:rPr>
        <w:t>Brian described the basic elements of the HOPWA program – long-term rental subsidies, supportive services, and operations of the RCFCI’s (Residential Care Facilities for the Chronically Ill).</w:t>
      </w:r>
    </w:p>
    <w:p w:rsidR="005457AF" w:rsidRDefault="005457AF" w:rsidP="005457AF">
      <w:pPr>
        <w:ind w:left="720"/>
        <w:rPr>
          <w:rFonts w:ascii="Tw Cen MT" w:hAnsi="Tw Cen MT"/>
          <w:sz w:val="24"/>
          <w:szCs w:val="24"/>
        </w:rPr>
      </w:pPr>
    </w:p>
    <w:p w:rsidR="005457AF" w:rsidRDefault="005457AF" w:rsidP="005457AF">
      <w:pPr>
        <w:ind w:left="720"/>
        <w:rPr>
          <w:rFonts w:ascii="Tw Cen MT" w:hAnsi="Tw Cen MT"/>
          <w:sz w:val="24"/>
          <w:szCs w:val="24"/>
        </w:rPr>
      </w:pPr>
      <w:r>
        <w:rPr>
          <w:rFonts w:ascii="Tw Cen MT" w:hAnsi="Tw Cen MT"/>
          <w:sz w:val="24"/>
          <w:szCs w:val="24"/>
        </w:rPr>
        <w:t>Restructured RCFCI program this year, moving three out of the five facilities towards a less intensive model, more appropriate for the clients they are serving and more financially sustainable.</w:t>
      </w:r>
    </w:p>
    <w:p w:rsidR="005457AF" w:rsidRDefault="005457AF" w:rsidP="005457AF">
      <w:pPr>
        <w:ind w:left="720"/>
        <w:rPr>
          <w:rFonts w:ascii="Tw Cen MT" w:hAnsi="Tw Cen MT"/>
          <w:sz w:val="24"/>
          <w:szCs w:val="24"/>
        </w:rPr>
      </w:pPr>
    </w:p>
    <w:p w:rsidR="005457AF" w:rsidRDefault="005457AF" w:rsidP="005457AF">
      <w:pPr>
        <w:ind w:left="720"/>
        <w:rPr>
          <w:rFonts w:ascii="Tw Cen MT" w:hAnsi="Tw Cen MT"/>
          <w:sz w:val="24"/>
          <w:szCs w:val="24"/>
        </w:rPr>
      </w:pPr>
      <w:r>
        <w:rPr>
          <w:rFonts w:ascii="Tw Cen MT" w:hAnsi="Tw Cen MT"/>
          <w:sz w:val="24"/>
          <w:szCs w:val="24"/>
        </w:rPr>
        <w:t>Brian then reviewed the specific recommendations.</w:t>
      </w:r>
    </w:p>
    <w:p w:rsidR="005457AF" w:rsidRDefault="005457AF" w:rsidP="005457AF">
      <w:pPr>
        <w:ind w:left="720"/>
        <w:rPr>
          <w:rFonts w:ascii="Tw Cen MT" w:hAnsi="Tw Cen MT"/>
          <w:sz w:val="24"/>
          <w:szCs w:val="24"/>
        </w:rPr>
      </w:pPr>
    </w:p>
    <w:p w:rsidR="005457AF" w:rsidRPr="001E1493" w:rsidRDefault="005457AF" w:rsidP="005457AF">
      <w:pPr>
        <w:pStyle w:val="ListParagraph"/>
        <w:rPr>
          <w:rFonts w:ascii="Tw Cen MT" w:hAnsi="Tw Cen MT"/>
          <w:b/>
          <w:sz w:val="24"/>
          <w:szCs w:val="24"/>
        </w:rPr>
      </w:pPr>
      <w:r w:rsidRPr="001E1493">
        <w:rPr>
          <w:rFonts w:ascii="Tw Cen MT" w:hAnsi="Tw Cen MT"/>
          <w:b/>
          <w:sz w:val="24"/>
          <w:szCs w:val="24"/>
        </w:rPr>
        <w:t>Motion to Approve 2022-23</w:t>
      </w:r>
      <w:r>
        <w:rPr>
          <w:rFonts w:ascii="Tw Cen MT" w:hAnsi="Tw Cen MT"/>
          <w:b/>
          <w:sz w:val="24"/>
          <w:szCs w:val="24"/>
        </w:rPr>
        <w:t xml:space="preserve"> MOHCD HOPWA</w:t>
      </w:r>
      <w:r w:rsidRPr="001E1493">
        <w:rPr>
          <w:rFonts w:ascii="Tw Cen MT" w:hAnsi="Tw Cen MT"/>
          <w:b/>
          <w:sz w:val="24"/>
          <w:szCs w:val="24"/>
        </w:rPr>
        <w:t xml:space="preserve"> Recommendations by Clint Loftman, seconded by </w:t>
      </w:r>
      <w:r>
        <w:rPr>
          <w:rFonts w:ascii="Tw Cen MT" w:hAnsi="Tw Cen MT"/>
          <w:b/>
          <w:sz w:val="24"/>
          <w:szCs w:val="24"/>
        </w:rPr>
        <w:t>Azalea Renfield</w:t>
      </w:r>
      <w:r w:rsidRPr="001E1493">
        <w:rPr>
          <w:rFonts w:ascii="Tw Cen MT" w:hAnsi="Tw Cen MT"/>
          <w:b/>
          <w:sz w:val="24"/>
          <w:szCs w:val="24"/>
        </w:rPr>
        <w:t>, unanimously approved by the committee.</w:t>
      </w:r>
    </w:p>
    <w:p w:rsidR="005457AF" w:rsidRDefault="005457AF" w:rsidP="005457AF">
      <w:pPr>
        <w:rPr>
          <w:rFonts w:ascii="Tw Cen MT" w:hAnsi="Tw Cen MT"/>
          <w:sz w:val="24"/>
          <w:szCs w:val="24"/>
        </w:rPr>
      </w:pPr>
    </w:p>
    <w:p w:rsidR="005457AF" w:rsidRPr="002C1573" w:rsidRDefault="005457AF" w:rsidP="005457AF">
      <w:pPr>
        <w:pStyle w:val="ListParagraph"/>
        <w:numPr>
          <w:ilvl w:val="0"/>
          <w:numId w:val="22"/>
        </w:numPr>
        <w:rPr>
          <w:rFonts w:ascii="Tw Cen MT" w:hAnsi="Tw Cen MT"/>
          <w:sz w:val="24"/>
          <w:szCs w:val="24"/>
          <w:u w:val="single"/>
        </w:rPr>
      </w:pPr>
      <w:r w:rsidRPr="002C1573">
        <w:rPr>
          <w:rFonts w:ascii="Tw Cen MT" w:hAnsi="Tw Cen MT"/>
          <w:sz w:val="24"/>
          <w:szCs w:val="24"/>
          <w:u w:val="single"/>
        </w:rPr>
        <w:t>HSH – Emergency Solutions Grants (ESG) Recommendations</w:t>
      </w:r>
    </w:p>
    <w:p w:rsidR="005457AF" w:rsidRDefault="005457AF" w:rsidP="005457AF">
      <w:pPr>
        <w:ind w:left="720"/>
        <w:rPr>
          <w:rFonts w:ascii="Tw Cen MT" w:hAnsi="Tw Cen MT"/>
          <w:sz w:val="24"/>
          <w:szCs w:val="24"/>
        </w:rPr>
      </w:pPr>
    </w:p>
    <w:p w:rsidR="005457AF" w:rsidRDefault="005457AF" w:rsidP="005457AF">
      <w:pPr>
        <w:ind w:left="720"/>
        <w:rPr>
          <w:rFonts w:ascii="Tw Cen MT" w:hAnsi="Tw Cen MT"/>
          <w:sz w:val="24"/>
          <w:szCs w:val="24"/>
        </w:rPr>
      </w:pPr>
      <w:r>
        <w:rPr>
          <w:rFonts w:ascii="Tw Cen MT" w:hAnsi="Tw Cen MT"/>
          <w:sz w:val="24"/>
          <w:szCs w:val="24"/>
        </w:rPr>
        <w:t>Olivia Lenson described that most of the funding is the same as last year’s, with the exception of consolidating two shelter programs into the larger Episcopal Community Services (ECS) Shelter Program</w:t>
      </w:r>
    </w:p>
    <w:p w:rsidR="005457AF" w:rsidRDefault="005457AF" w:rsidP="005457AF">
      <w:pPr>
        <w:ind w:left="720"/>
        <w:rPr>
          <w:rFonts w:ascii="Tw Cen MT" w:hAnsi="Tw Cen MT"/>
          <w:sz w:val="24"/>
          <w:szCs w:val="24"/>
        </w:rPr>
      </w:pPr>
    </w:p>
    <w:p w:rsidR="005457AF" w:rsidRDefault="005457AF" w:rsidP="005457AF">
      <w:pPr>
        <w:ind w:left="720"/>
        <w:rPr>
          <w:rFonts w:ascii="Tw Cen MT" w:hAnsi="Tw Cen MT"/>
          <w:sz w:val="24"/>
          <w:szCs w:val="24"/>
        </w:rPr>
      </w:pPr>
      <w:r>
        <w:rPr>
          <w:rFonts w:ascii="Tw Cen MT" w:hAnsi="Tw Cen MT"/>
          <w:sz w:val="24"/>
          <w:szCs w:val="24"/>
        </w:rPr>
        <w:t>This is a key funding source for case management programs.</w:t>
      </w:r>
    </w:p>
    <w:p w:rsidR="005457AF" w:rsidRDefault="005457AF" w:rsidP="005457AF">
      <w:pPr>
        <w:ind w:left="720"/>
        <w:rPr>
          <w:rFonts w:ascii="Tw Cen MT" w:hAnsi="Tw Cen MT"/>
          <w:sz w:val="24"/>
          <w:szCs w:val="24"/>
        </w:rPr>
      </w:pPr>
    </w:p>
    <w:p w:rsidR="005457AF" w:rsidRDefault="005457AF" w:rsidP="005457AF">
      <w:pPr>
        <w:ind w:left="720"/>
        <w:rPr>
          <w:rFonts w:ascii="Tw Cen MT" w:hAnsi="Tw Cen MT"/>
          <w:sz w:val="24"/>
          <w:szCs w:val="24"/>
        </w:rPr>
      </w:pPr>
      <w:r>
        <w:rPr>
          <w:rFonts w:ascii="Tw Cen MT" w:hAnsi="Tw Cen MT"/>
          <w:sz w:val="24"/>
          <w:szCs w:val="24"/>
        </w:rPr>
        <w:t>Alan Guttirez described how it is also used to support rapid rehousing strategies, blended with other fund sources.</w:t>
      </w:r>
    </w:p>
    <w:p w:rsidR="005457AF" w:rsidRDefault="005457AF" w:rsidP="005457AF">
      <w:pPr>
        <w:ind w:left="720"/>
        <w:rPr>
          <w:rFonts w:ascii="Tw Cen MT" w:hAnsi="Tw Cen MT"/>
          <w:sz w:val="24"/>
          <w:szCs w:val="24"/>
        </w:rPr>
      </w:pPr>
    </w:p>
    <w:p w:rsidR="005457AF" w:rsidRPr="001E1493" w:rsidRDefault="005457AF" w:rsidP="005457AF">
      <w:pPr>
        <w:pStyle w:val="ListParagraph"/>
        <w:rPr>
          <w:rFonts w:ascii="Tw Cen MT" w:hAnsi="Tw Cen MT"/>
          <w:b/>
          <w:sz w:val="24"/>
          <w:szCs w:val="24"/>
        </w:rPr>
      </w:pPr>
      <w:r w:rsidRPr="001E1493">
        <w:rPr>
          <w:rFonts w:ascii="Tw Cen MT" w:hAnsi="Tw Cen MT"/>
          <w:b/>
          <w:sz w:val="24"/>
          <w:szCs w:val="24"/>
        </w:rPr>
        <w:t>Motion to Approve 2022-23</w:t>
      </w:r>
      <w:r>
        <w:rPr>
          <w:rFonts w:ascii="Tw Cen MT" w:hAnsi="Tw Cen MT"/>
          <w:b/>
          <w:sz w:val="24"/>
          <w:szCs w:val="24"/>
        </w:rPr>
        <w:t xml:space="preserve"> HSH ESG</w:t>
      </w:r>
      <w:r w:rsidRPr="001E1493">
        <w:rPr>
          <w:rFonts w:ascii="Tw Cen MT" w:hAnsi="Tw Cen MT"/>
          <w:b/>
          <w:sz w:val="24"/>
          <w:szCs w:val="24"/>
        </w:rPr>
        <w:t xml:space="preserve"> Recommendations by </w:t>
      </w:r>
      <w:r>
        <w:rPr>
          <w:rFonts w:ascii="Tw Cen MT" w:hAnsi="Tw Cen MT"/>
          <w:b/>
          <w:sz w:val="24"/>
          <w:szCs w:val="24"/>
        </w:rPr>
        <w:t>Azalea Renfield</w:t>
      </w:r>
      <w:r w:rsidRPr="001E1493">
        <w:rPr>
          <w:rFonts w:ascii="Tw Cen MT" w:hAnsi="Tw Cen MT"/>
          <w:b/>
          <w:sz w:val="24"/>
          <w:szCs w:val="24"/>
        </w:rPr>
        <w:t>, seconded by</w:t>
      </w:r>
      <w:r>
        <w:rPr>
          <w:rFonts w:ascii="Tw Cen MT" w:hAnsi="Tw Cen MT"/>
          <w:b/>
          <w:sz w:val="24"/>
          <w:szCs w:val="24"/>
        </w:rPr>
        <w:t xml:space="preserve"> Mick Del Rosario</w:t>
      </w:r>
      <w:r w:rsidRPr="001E1493">
        <w:rPr>
          <w:rFonts w:ascii="Tw Cen MT" w:hAnsi="Tw Cen MT"/>
          <w:b/>
          <w:sz w:val="24"/>
          <w:szCs w:val="24"/>
        </w:rPr>
        <w:t>, unanimously approved by the committee.</w:t>
      </w:r>
    </w:p>
    <w:p w:rsidR="005457AF" w:rsidRDefault="005457AF" w:rsidP="005457AF">
      <w:pPr>
        <w:ind w:left="720"/>
        <w:rPr>
          <w:rFonts w:ascii="Tw Cen MT" w:hAnsi="Tw Cen MT"/>
          <w:sz w:val="24"/>
          <w:szCs w:val="24"/>
        </w:rPr>
      </w:pPr>
    </w:p>
    <w:p w:rsidR="005457AF" w:rsidRDefault="005457AF" w:rsidP="005457AF">
      <w:pPr>
        <w:pStyle w:val="ListParagraph"/>
        <w:numPr>
          <w:ilvl w:val="0"/>
          <w:numId w:val="22"/>
        </w:numPr>
        <w:rPr>
          <w:rFonts w:ascii="Tw Cen MT" w:hAnsi="Tw Cen MT"/>
          <w:sz w:val="24"/>
          <w:szCs w:val="24"/>
        </w:rPr>
      </w:pPr>
      <w:r>
        <w:rPr>
          <w:rFonts w:ascii="Tw Cen MT" w:hAnsi="Tw Cen MT"/>
          <w:sz w:val="24"/>
          <w:szCs w:val="24"/>
        </w:rPr>
        <w:t>OEWD – Workforce – CDBG Recommendations</w:t>
      </w:r>
    </w:p>
    <w:p w:rsidR="005457AF" w:rsidRDefault="005457AF" w:rsidP="005457AF">
      <w:pPr>
        <w:ind w:left="720"/>
        <w:rPr>
          <w:rFonts w:ascii="Tw Cen MT" w:hAnsi="Tw Cen MT"/>
          <w:sz w:val="24"/>
          <w:szCs w:val="24"/>
        </w:rPr>
      </w:pPr>
    </w:p>
    <w:p w:rsidR="005457AF" w:rsidRDefault="005457AF" w:rsidP="005457AF">
      <w:pPr>
        <w:ind w:left="720"/>
        <w:rPr>
          <w:rFonts w:ascii="Tw Cen MT" w:hAnsi="Tw Cen MT"/>
          <w:sz w:val="24"/>
          <w:szCs w:val="24"/>
        </w:rPr>
      </w:pPr>
      <w:r>
        <w:rPr>
          <w:rFonts w:ascii="Tw Cen MT" w:hAnsi="Tw Cen MT"/>
          <w:sz w:val="24"/>
          <w:szCs w:val="24"/>
        </w:rPr>
        <w:t>David Taylor described how this funding primarily supports neighborhood job centers, youth workforce development programs, and sector academies</w:t>
      </w:r>
    </w:p>
    <w:p w:rsidR="005457AF" w:rsidRDefault="005457AF" w:rsidP="005457AF">
      <w:pPr>
        <w:ind w:left="720"/>
        <w:rPr>
          <w:rFonts w:ascii="Tw Cen MT" w:hAnsi="Tw Cen MT"/>
          <w:sz w:val="24"/>
          <w:szCs w:val="24"/>
        </w:rPr>
      </w:pPr>
    </w:p>
    <w:p w:rsidR="005457AF" w:rsidRDefault="005457AF" w:rsidP="005457AF">
      <w:pPr>
        <w:ind w:left="720"/>
        <w:rPr>
          <w:rFonts w:ascii="Tw Cen MT" w:hAnsi="Tw Cen MT"/>
          <w:sz w:val="24"/>
          <w:szCs w:val="24"/>
        </w:rPr>
      </w:pPr>
      <w:r>
        <w:rPr>
          <w:rFonts w:ascii="Tw Cen MT" w:hAnsi="Tw Cen MT"/>
          <w:sz w:val="24"/>
          <w:szCs w:val="24"/>
        </w:rPr>
        <w:t>Completed a four-year procurement, with 2020-21 being the first year in that funding cycle.</w:t>
      </w:r>
    </w:p>
    <w:p w:rsidR="005457AF" w:rsidRDefault="005457AF" w:rsidP="005457AF">
      <w:pPr>
        <w:ind w:left="720"/>
        <w:rPr>
          <w:rFonts w:ascii="Tw Cen MT" w:hAnsi="Tw Cen MT"/>
          <w:sz w:val="24"/>
          <w:szCs w:val="24"/>
        </w:rPr>
      </w:pPr>
    </w:p>
    <w:p w:rsidR="005457AF" w:rsidRDefault="005457AF" w:rsidP="005457AF">
      <w:pPr>
        <w:ind w:left="720"/>
        <w:rPr>
          <w:rFonts w:ascii="Tw Cen MT" w:hAnsi="Tw Cen MT"/>
          <w:sz w:val="24"/>
          <w:szCs w:val="24"/>
        </w:rPr>
      </w:pPr>
      <w:r>
        <w:rPr>
          <w:rFonts w:ascii="Tw Cen MT" w:hAnsi="Tw Cen MT"/>
          <w:sz w:val="24"/>
          <w:szCs w:val="24"/>
        </w:rPr>
        <w:lastRenderedPageBreak/>
        <w:t>Funding ten agencies, again primarily located in the NRSA’s. Reviewed each recommended project.</w:t>
      </w:r>
    </w:p>
    <w:p w:rsidR="005457AF" w:rsidRDefault="005457AF" w:rsidP="005457AF">
      <w:pPr>
        <w:ind w:left="720"/>
        <w:rPr>
          <w:rFonts w:ascii="Tw Cen MT" w:hAnsi="Tw Cen MT"/>
          <w:sz w:val="24"/>
          <w:szCs w:val="24"/>
        </w:rPr>
      </w:pPr>
    </w:p>
    <w:p w:rsidR="005457AF" w:rsidRPr="001E1493" w:rsidRDefault="005457AF" w:rsidP="005457AF">
      <w:pPr>
        <w:pStyle w:val="ListParagraph"/>
        <w:rPr>
          <w:rFonts w:ascii="Tw Cen MT" w:hAnsi="Tw Cen MT"/>
          <w:b/>
          <w:sz w:val="24"/>
          <w:szCs w:val="24"/>
        </w:rPr>
      </w:pPr>
      <w:r w:rsidRPr="001E1493">
        <w:rPr>
          <w:rFonts w:ascii="Tw Cen MT" w:hAnsi="Tw Cen MT"/>
          <w:b/>
          <w:sz w:val="24"/>
          <w:szCs w:val="24"/>
        </w:rPr>
        <w:t>Motion to Approve 2022-23</w:t>
      </w:r>
      <w:r>
        <w:rPr>
          <w:rFonts w:ascii="Tw Cen MT" w:hAnsi="Tw Cen MT"/>
          <w:b/>
          <w:sz w:val="24"/>
          <w:szCs w:val="24"/>
        </w:rPr>
        <w:t xml:space="preserve"> OEWD Workforce Development CDBG</w:t>
      </w:r>
      <w:r w:rsidRPr="001E1493">
        <w:rPr>
          <w:rFonts w:ascii="Tw Cen MT" w:hAnsi="Tw Cen MT"/>
          <w:b/>
          <w:sz w:val="24"/>
          <w:szCs w:val="24"/>
        </w:rPr>
        <w:t xml:space="preserve"> Recommendations by </w:t>
      </w:r>
      <w:r>
        <w:rPr>
          <w:rFonts w:ascii="Tw Cen MT" w:hAnsi="Tw Cen MT"/>
          <w:b/>
          <w:sz w:val="24"/>
          <w:szCs w:val="24"/>
        </w:rPr>
        <w:t>Irene Riley</w:t>
      </w:r>
      <w:r w:rsidRPr="001E1493">
        <w:rPr>
          <w:rFonts w:ascii="Tw Cen MT" w:hAnsi="Tw Cen MT"/>
          <w:b/>
          <w:sz w:val="24"/>
          <w:szCs w:val="24"/>
        </w:rPr>
        <w:t xml:space="preserve">, seconded by </w:t>
      </w:r>
      <w:r>
        <w:rPr>
          <w:rFonts w:ascii="Tw Cen MT" w:hAnsi="Tw Cen MT"/>
          <w:b/>
          <w:sz w:val="24"/>
          <w:szCs w:val="24"/>
        </w:rPr>
        <w:t>Rena Ilasa</w:t>
      </w:r>
      <w:r w:rsidRPr="001E1493">
        <w:rPr>
          <w:rFonts w:ascii="Tw Cen MT" w:hAnsi="Tw Cen MT"/>
          <w:b/>
          <w:sz w:val="24"/>
          <w:szCs w:val="24"/>
        </w:rPr>
        <w:t>, unanimously approved by the committee.</w:t>
      </w:r>
    </w:p>
    <w:p w:rsidR="005457AF" w:rsidRDefault="005457AF" w:rsidP="005457AF">
      <w:pPr>
        <w:ind w:left="720"/>
        <w:rPr>
          <w:rFonts w:ascii="Tw Cen MT" w:hAnsi="Tw Cen MT"/>
          <w:sz w:val="24"/>
          <w:szCs w:val="24"/>
        </w:rPr>
      </w:pPr>
    </w:p>
    <w:p w:rsidR="005457AF" w:rsidRPr="002C1573" w:rsidRDefault="005457AF" w:rsidP="005457AF">
      <w:pPr>
        <w:pStyle w:val="ListParagraph"/>
        <w:numPr>
          <w:ilvl w:val="0"/>
          <w:numId w:val="22"/>
        </w:numPr>
        <w:rPr>
          <w:rFonts w:ascii="Tw Cen MT" w:hAnsi="Tw Cen MT"/>
          <w:sz w:val="24"/>
          <w:szCs w:val="24"/>
          <w:u w:val="single"/>
        </w:rPr>
      </w:pPr>
      <w:r w:rsidRPr="002C1573">
        <w:rPr>
          <w:rFonts w:ascii="Tw Cen MT" w:hAnsi="Tw Cen MT"/>
          <w:sz w:val="24"/>
          <w:szCs w:val="24"/>
          <w:u w:val="single"/>
        </w:rPr>
        <w:t>OEWD – Economic Development – CDBG Recommendations</w:t>
      </w:r>
    </w:p>
    <w:p w:rsidR="005457AF" w:rsidRDefault="005457AF" w:rsidP="005457AF">
      <w:pPr>
        <w:ind w:left="720"/>
        <w:rPr>
          <w:rFonts w:ascii="Tw Cen MT" w:hAnsi="Tw Cen MT"/>
          <w:sz w:val="24"/>
          <w:szCs w:val="24"/>
        </w:rPr>
      </w:pPr>
    </w:p>
    <w:p w:rsidR="005457AF" w:rsidRDefault="005457AF" w:rsidP="005457AF">
      <w:pPr>
        <w:ind w:left="720"/>
        <w:rPr>
          <w:rFonts w:ascii="Tw Cen MT" w:hAnsi="Tw Cen MT"/>
          <w:sz w:val="24"/>
          <w:szCs w:val="24"/>
        </w:rPr>
      </w:pPr>
      <w:r>
        <w:rPr>
          <w:rFonts w:ascii="Tw Cen MT" w:hAnsi="Tw Cen MT"/>
          <w:sz w:val="24"/>
          <w:szCs w:val="24"/>
        </w:rPr>
        <w:t>Angel Cardoz described how they are providing stable funding from last year, with no changes in the amounts recommended to each project.  This year they have focused primarily on economic recovery efforts.  Primarily fund small business development, along with neighborhood commercial corridors.</w:t>
      </w:r>
    </w:p>
    <w:p w:rsidR="005457AF" w:rsidRDefault="005457AF" w:rsidP="005457AF">
      <w:pPr>
        <w:ind w:left="720"/>
        <w:rPr>
          <w:rFonts w:ascii="Tw Cen MT" w:hAnsi="Tw Cen MT"/>
          <w:sz w:val="24"/>
          <w:szCs w:val="24"/>
        </w:rPr>
      </w:pPr>
    </w:p>
    <w:p w:rsidR="005457AF" w:rsidRDefault="005457AF" w:rsidP="005457AF">
      <w:pPr>
        <w:ind w:left="720"/>
        <w:rPr>
          <w:rFonts w:ascii="Tw Cen MT" w:hAnsi="Tw Cen MT"/>
          <w:sz w:val="24"/>
          <w:szCs w:val="24"/>
        </w:rPr>
      </w:pPr>
      <w:r>
        <w:rPr>
          <w:rFonts w:ascii="Tw Cen MT" w:hAnsi="Tw Cen MT"/>
          <w:sz w:val="24"/>
          <w:szCs w:val="24"/>
        </w:rPr>
        <w:t>Clint Loftman asked how the Economic Development team measures success.  Angel described how OEWD tracks a wide range of outputs and outcomes, and specifically a number of very specific economic outcomes that show success and impact.</w:t>
      </w:r>
    </w:p>
    <w:p w:rsidR="005457AF" w:rsidRDefault="005457AF" w:rsidP="005457AF">
      <w:pPr>
        <w:ind w:left="720"/>
        <w:rPr>
          <w:rFonts w:ascii="Tw Cen MT" w:hAnsi="Tw Cen MT"/>
          <w:sz w:val="24"/>
          <w:szCs w:val="24"/>
        </w:rPr>
      </w:pPr>
    </w:p>
    <w:p w:rsidR="005457AF" w:rsidRPr="001E1493" w:rsidRDefault="005457AF" w:rsidP="005457AF">
      <w:pPr>
        <w:pStyle w:val="ListParagraph"/>
        <w:rPr>
          <w:rFonts w:ascii="Tw Cen MT" w:hAnsi="Tw Cen MT"/>
          <w:b/>
          <w:sz w:val="24"/>
          <w:szCs w:val="24"/>
        </w:rPr>
      </w:pPr>
      <w:r w:rsidRPr="001E1493">
        <w:rPr>
          <w:rFonts w:ascii="Tw Cen MT" w:hAnsi="Tw Cen MT"/>
          <w:b/>
          <w:sz w:val="24"/>
          <w:szCs w:val="24"/>
        </w:rPr>
        <w:t>Motion to Approve 2022-23</w:t>
      </w:r>
      <w:r>
        <w:rPr>
          <w:rFonts w:ascii="Tw Cen MT" w:hAnsi="Tw Cen MT"/>
          <w:b/>
          <w:sz w:val="24"/>
          <w:szCs w:val="24"/>
        </w:rPr>
        <w:t xml:space="preserve"> OEWD Economic Development CDBG</w:t>
      </w:r>
      <w:r w:rsidRPr="001E1493">
        <w:rPr>
          <w:rFonts w:ascii="Tw Cen MT" w:hAnsi="Tw Cen MT"/>
          <w:b/>
          <w:sz w:val="24"/>
          <w:szCs w:val="24"/>
        </w:rPr>
        <w:t xml:space="preserve"> Recommendations by Clint Loftman, seconded by </w:t>
      </w:r>
      <w:r>
        <w:rPr>
          <w:rFonts w:ascii="Tw Cen MT" w:hAnsi="Tw Cen MT"/>
          <w:b/>
          <w:sz w:val="24"/>
          <w:szCs w:val="24"/>
        </w:rPr>
        <w:t>Irene Riley</w:t>
      </w:r>
      <w:r w:rsidRPr="001E1493">
        <w:rPr>
          <w:rFonts w:ascii="Tw Cen MT" w:hAnsi="Tw Cen MT"/>
          <w:b/>
          <w:sz w:val="24"/>
          <w:szCs w:val="24"/>
        </w:rPr>
        <w:t>, unanimously approved by the committee.</w:t>
      </w:r>
    </w:p>
    <w:p w:rsidR="005457AF" w:rsidRPr="002C1573" w:rsidRDefault="005457AF" w:rsidP="005457AF">
      <w:pPr>
        <w:ind w:left="720"/>
        <w:rPr>
          <w:rFonts w:ascii="Tw Cen MT" w:hAnsi="Tw Cen MT"/>
          <w:sz w:val="24"/>
          <w:szCs w:val="24"/>
        </w:rPr>
      </w:pPr>
    </w:p>
    <w:p w:rsidR="005457AF" w:rsidRDefault="005457AF" w:rsidP="005457AF">
      <w:pPr>
        <w:pStyle w:val="ListParagraph"/>
        <w:rPr>
          <w:rFonts w:ascii="Tw Cen MT" w:hAnsi="Tw Cen MT"/>
          <w:sz w:val="24"/>
          <w:szCs w:val="24"/>
        </w:rPr>
      </w:pPr>
      <w:r>
        <w:rPr>
          <w:rFonts w:ascii="Tw Cen MT" w:hAnsi="Tw Cen MT"/>
          <w:sz w:val="24"/>
          <w:szCs w:val="24"/>
        </w:rPr>
        <w:t>With all preliminary recommendations hav</w:t>
      </w:r>
      <w:r w:rsidR="00D37608">
        <w:rPr>
          <w:rFonts w:ascii="Tw Cen MT" w:hAnsi="Tw Cen MT"/>
          <w:sz w:val="24"/>
          <w:szCs w:val="24"/>
        </w:rPr>
        <w:t>ing</w:t>
      </w:r>
      <w:r>
        <w:rPr>
          <w:rFonts w:ascii="Tw Cen MT" w:hAnsi="Tw Cen MT"/>
          <w:sz w:val="24"/>
          <w:szCs w:val="24"/>
        </w:rPr>
        <w:t xml:space="preserve"> been approved, Brian described how we will now post the recommendations and then have our next public hearing on April 7</w:t>
      </w:r>
      <w:r w:rsidRPr="00E43450">
        <w:rPr>
          <w:rFonts w:ascii="Tw Cen MT" w:hAnsi="Tw Cen MT"/>
          <w:sz w:val="24"/>
          <w:szCs w:val="24"/>
          <w:vertAlign w:val="superscript"/>
        </w:rPr>
        <w:t>th</w:t>
      </w:r>
      <w:r>
        <w:rPr>
          <w:rFonts w:ascii="Tw Cen MT" w:hAnsi="Tw Cen MT"/>
          <w:sz w:val="24"/>
          <w:szCs w:val="24"/>
        </w:rPr>
        <w:t xml:space="preserve"> to receive feedback on these preliminary recommendations.</w:t>
      </w:r>
    </w:p>
    <w:p w:rsidR="005457AF" w:rsidRPr="00E43450" w:rsidRDefault="005457AF" w:rsidP="005457AF">
      <w:pPr>
        <w:rPr>
          <w:rFonts w:ascii="Tw Cen MT" w:hAnsi="Tw Cen MT"/>
          <w:sz w:val="24"/>
          <w:szCs w:val="24"/>
        </w:rPr>
      </w:pPr>
      <w:bookmarkStart w:id="0" w:name="_GoBack"/>
      <w:bookmarkEnd w:id="0"/>
    </w:p>
    <w:p w:rsidR="005457AF" w:rsidRDefault="00D37608" w:rsidP="005457AF">
      <w:pPr>
        <w:pStyle w:val="ListParagraph"/>
        <w:rPr>
          <w:rFonts w:ascii="Tw Cen MT" w:hAnsi="Tw Cen MT"/>
          <w:sz w:val="24"/>
          <w:szCs w:val="24"/>
        </w:rPr>
      </w:pPr>
      <w:r>
        <w:rPr>
          <w:rFonts w:ascii="Tw Cen MT" w:hAnsi="Tw Cen MT"/>
          <w:sz w:val="24"/>
          <w:szCs w:val="24"/>
        </w:rPr>
        <w:t>We w</w:t>
      </w:r>
      <w:r w:rsidR="005457AF">
        <w:rPr>
          <w:rFonts w:ascii="Tw Cen MT" w:hAnsi="Tw Cen MT"/>
          <w:sz w:val="24"/>
          <w:szCs w:val="24"/>
        </w:rPr>
        <w:t>ill then have one more CCCD meeting to review and approve the Final Recommendations</w:t>
      </w:r>
      <w:r>
        <w:rPr>
          <w:rFonts w:ascii="Tw Cen MT" w:hAnsi="Tw Cen MT"/>
          <w:sz w:val="24"/>
          <w:szCs w:val="24"/>
        </w:rPr>
        <w:t>.</w:t>
      </w:r>
    </w:p>
    <w:p w:rsidR="005457AF" w:rsidRDefault="005457AF" w:rsidP="005457AF">
      <w:pPr>
        <w:pStyle w:val="ListParagraph"/>
        <w:rPr>
          <w:rFonts w:ascii="Tw Cen MT" w:hAnsi="Tw Cen MT"/>
          <w:sz w:val="24"/>
          <w:szCs w:val="24"/>
        </w:rPr>
      </w:pPr>
    </w:p>
    <w:p w:rsidR="005457AF" w:rsidRDefault="005457AF" w:rsidP="005457AF">
      <w:pPr>
        <w:pStyle w:val="ListParagraph"/>
        <w:rPr>
          <w:rFonts w:ascii="Tw Cen MT" w:hAnsi="Tw Cen MT"/>
          <w:sz w:val="24"/>
          <w:szCs w:val="24"/>
        </w:rPr>
      </w:pPr>
      <w:r>
        <w:rPr>
          <w:rFonts w:ascii="Tw Cen MT" w:hAnsi="Tw Cen MT"/>
          <w:sz w:val="24"/>
          <w:szCs w:val="24"/>
        </w:rPr>
        <w:t>We would also like to gauge committee interest in future topics to learn about and discuss.  Staff will send out a survey to get input on future topics, and will then work on a calendar for our next set of meetings.</w:t>
      </w:r>
    </w:p>
    <w:p w:rsidR="005457AF" w:rsidRPr="00460399" w:rsidRDefault="005457AF" w:rsidP="005457AF">
      <w:pPr>
        <w:rPr>
          <w:rFonts w:ascii="Tw Cen MT" w:hAnsi="Tw Cen MT"/>
          <w:sz w:val="24"/>
          <w:szCs w:val="24"/>
        </w:rPr>
      </w:pPr>
    </w:p>
    <w:p w:rsidR="005457AF" w:rsidRDefault="005457AF" w:rsidP="005457AF">
      <w:pPr>
        <w:pStyle w:val="ListParagraph"/>
        <w:numPr>
          <w:ilvl w:val="0"/>
          <w:numId w:val="20"/>
        </w:numPr>
        <w:rPr>
          <w:rFonts w:ascii="Tw Cen MT" w:hAnsi="Tw Cen MT"/>
          <w:b/>
          <w:sz w:val="24"/>
          <w:szCs w:val="24"/>
        </w:rPr>
      </w:pPr>
      <w:r w:rsidRPr="00460399">
        <w:rPr>
          <w:rFonts w:ascii="Tw Cen MT" w:hAnsi="Tw Cen MT"/>
          <w:b/>
          <w:sz w:val="24"/>
          <w:szCs w:val="24"/>
        </w:rPr>
        <w:t>Public Comment</w:t>
      </w:r>
    </w:p>
    <w:p w:rsidR="005457AF" w:rsidRDefault="005457AF" w:rsidP="005457AF">
      <w:pPr>
        <w:pStyle w:val="ListParagraph"/>
        <w:rPr>
          <w:rFonts w:ascii="Tw Cen MT" w:hAnsi="Tw Cen MT"/>
          <w:b/>
          <w:sz w:val="24"/>
          <w:szCs w:val="24"/>
        </w:rPr>
      </w:pPr>
    </w:p>
    <w:p w:rsidR="005457AF" w:rsidRDefault="005457AF" w:rsidP="005457AF">
      <w:pPr>
        <w:pStyle w:val="ListParagraph"/>
        <w:rPr>
          <w:rFonts w:ascii="Tw Cen MT" w:hAnsi="Tw Cen MT"/>
          <w:b/>
          <w:sz w:val="24"/>
          <w:szCs w:val="24"/>
        </w:rPr>
      </w:pPr>
      <w:r>
        <w:rPr>
          <w:rFonts w:ascii="Tw Cen MT" w:hAnsi="Tw Cen MT"/>
          <w:b/>
          <w:sz w:val="24"/>
          <w:szCs w:val="24"/>
        </w:rPr>
        <w:t>None</w:t>
      </w:r>
    </w:p>
    <w:p w:rsidR="005457AF" w:rsidRDefault="005457AF" w:rsidP="005457AF">
      <w:pPr>
        <w:pStyle w:val="ListParagraph"/>
        <w:rPr>
          <w:rFonts w:ascii="Tw Cen MT" w:hAnsi="Tw Cen MT"/>
          <w:b/>
          <w:sz w:val="24"/>
          <w:szCs w:val="24"/>
        </w:rPr>
      </w:pPr>
    </w:p>
    <w:p w:rsidR="005457AF" w:rsidRDefault="005457AF" w:rsidP="005457AF">
      <w:pPr>
        <w:pStyle w:val="ListParagraph"/>
        <w:numPr>
          <w:ilvl w:val="0"/>
          <w:numId w:val="20"/>
        </w:numPr>
        <w:rPr>
          <w:rFonts w:ascii="Tw Cen MT" w:hAnsi="Tw Cen MT"/>
          <w:b/>
          <w:sz w:val="24"/>
          <w:szCs w:val="24"/>
        </w:rPr>
      </w:pPr>
      <w:r>
        <w:rPr>
          <w:rFonts w:ascii="Tw Cen MT" w:hAnsi="Tw Cen MT"/>
          <w:b/>
          <w:sz w:val="24"/>
          <w:szCs w:val="24"/>
        </w:rPr>
        <w:t>Adjournment at 7:10pm</w:t>
      </w:r>
    </w:p>
    <w:p w:rsidR="005457AF" w:rsidRPr="006D6392" w:rsidRDefault="005457AF" w:rsidP="005457AF">
      <w:pPr>
        <w:pStyle w:val="ListParagraph"/>
        <w:rPr>
          <w:rFonts w:ascii="Tw Cen MT" w:hAnsi="Tw Cen MT"/>
          <w:b/>
          <w:sz w:val="24"/>
          <w:szCs w:val="24"/>
        </w:rPr>
      </w:pPr>
    </w:p>
    <w:p w:rsidR="005457AF" w:rsidRDefault="005457AF" w:rsidP="005457AF"/>
    <w:p w:rsidR="00422B47" w:rsidRPr="00422B47" w:rsidRDefault="00422B47" w:rsidP="00422B47">
      <w:pPr>
        <w:rPr>
          <w:rFonts w:ascii="Tw Cen MT" w:hAnsi="Tw Cen MT"/>
          <w:sz w:val="24"/>
          <w:szCs w:val="24"/>
        </w:rPr>
      </w:pPr>
      <w:r w:rsidRPr="00422B47">
        <w:rPr>
          <w:rFonts w:ascii="Tw Cen MT" w:hAnsi="Tw Cen MT"/>
          <w:sz w:val="24"/>
          <w:szCs w:val="24"/>
        </w:rPr>
        <w:t>.</w:t>
      </w:r>
    </w:p>
    <w:sectPr w:rsidR="00422B47" w:rsidRPr="00422B47" w:rsidSect="007218DC">
      <w:headerReference w:type="default" r:id="rId8"/>
      <w:headerReference w:type="first" r:id="rId9"/>
      <w:footerReference w:type="first" r:id="rId10"/>
      <w:type w:val="continuous"/>
      <w:pgSz w:w="12240" w:h="15840"/>
      <w:pgMar w:top="1440" w:right="1080" w:bottom="1440" w:left="1080" w:header="72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5FEE" w:rsidRDefault="00EA5FEE">
      <w:r>
        <w:separator/>
      </w:r>
    </w:p>
  </w:endnote>
  <w:endnote w:type="continuationSeparator" w:id="0">
    <w:p w:rsidR="00EA5FEE" w:rsidRDefault="00EA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194" w:rsidRDefault="000D0194">
    <w:pPr>
      <w:rPr>
        <w:rFonts w:ascii="Tw Cen MT" w:hAnsi="Tw Cen MT"/>
        <w:sz w:val="16"/>
        <w:szCs w:val="16"/>
      </w:rPr>
    </w:pPr>
    <w:r>
      <w:rPr>
        <w:rFonts w:ascii="Tw Cen MT" w:hAnsi="Tw Cen MT"/>
        <w:sz w:val="16"/>
        <w:szCs w:val="16"/>
      </w:rPr>
      <w:t>______________________________________________________________________________________________________________________________</w:t>
    </w:r>
  </w:p>
  <w:p w:rsidR="000D0194" w:rsidRPr="000D0194" w:rsidRDefault="000D0194">
    <w:pPr>
      <w:rPr>
        <w:rFonts w:ascii="Tw Cen MT" w:hAnsi="Tw Cen MT"/>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C11E5D" w:rsidTr="00C11E5D">
      <w:tc>
        <w:tcPr>
          <w:tcW w:w="5035" w:type="dxa"/>
          <w:vAlign w:val="center"/>
        </w:tcPr>
        <w:p w:rsidR="00C11E5D" w:rsidRDefault="00C11E5D" w:rsidP="00C11E5D">
          <w:pPr>
            <w:pStyle w:val="Footer"/>
            <w:rPr>
              <w:rFonts w:ascii="Tw Cen MT" w:hAnsi="Tw Cen MT"/>
              <w:sz w:val="24"/>
              <w:szCs w:val="24"/>
            </w:rPr>
          </w:pPr>
          <w:r w:rsidRPr="00E64F32">
            <w:rPr>
              <w:rFonts w:ascii="Tw Cen MT" w:hAnsi="Tw Cen MT"/>
              <w:sz w:val="24"/>
              <w:szCs w:val="24"/>
            </w:rPr>
            <w:t xml:space="preserve">1 South Van Ness Avenue, </w:t>
          </w:r>
          <w:r>
            <w:rPr>
              <w:rFonts w:ascii="Tw Cen MT" w:hAnsi="Tw Cen MT"/>
              <w:sz w:val="24"/>
              <w:szCs w:val="24"/>
            </w:rPr>
            <w:t>5</w:t>
          </w:r>
          <w:r w:rsidRPr="00E64F32">
            <w:rPr>
              <w:rFonts w:ascii="Tw Cen MT" w:hAnsi="Tw Cen MT"/>
              <w:sz w:val="24"/>
              <w:szCs w:val="24"/>
              <w:vertAlign w:val="superscript"/>
            </w:rPr>
            <w:t>th</w:t>
          </w:r>
          <w:r>
            <w:rPr>
              <w:rFonts w:ascii="Tw Cen MT" w:hAnsi="Tw Cen MT"/>
              <w:sz w:val="24"/>
              <w:szCs w:val="24"/>
            </w:rPr>
            <w:t xml:space="preserve"> Floor</w:t>
          </w:r>
        </w:p>
      </w:tc>
      <w:tc>
        <w:tcPr>
          <w:tcW w:w="5035" w:type="dxa"/>
          <w:vAlign w:val="center"/>
        </w:tcPr>
        <w:p w:rsidR="00C11E5D" w:rsidRDefault="00C11E5D" w:rsidP="00C11E5D">
          <w:pPr>
            <w:pStyle w:val="Footer"/>
            <w:jc w:val="right"/>
            <w:rPr>
              <w:rFonts w:ascii="Tw Cen MT" w:hAnsi="Tw Cen MT"/>
              <w:sz w:val="24"/>
              <w:szCs w:val="24"/>
            </w:rPr>
          </w:pPr>
          <w:r w:rsidRPr="00E64F32">
            <w:rPr>
              <w:rFonts w:ascii="Tw Cen MT" w:hAnsi="Tw Cen MT"/>
              <w:sz w:val="24"/>
              <w:szCs w:val="24"/>
            </w:rPr>
            <w:t>Phone: (415) 701-5500</w:t>
          </w:r>
        </w:p>
      </w:tc>
    </w:tr>
    <w:tr w:rsidR="00C11E5D" w:rsidTr="00C11E5D">
      <w:tc>
        <w:tcPr>
          <w:tcW w:w="5035" w:type="dxa"/>
          <w:vAlign w:val="center"/>
        </w:tcPr>
        <w:p w:rsidR="00C11E5D" w:rsidRDefault="00C11E5D" w:rsidP="00C11E5D">
          <w:pPr>
            <w:pStyle w:val="Footer"/>
            <w:rPr>
              <w:rFonts w:ascii="Tw Cen MT" w:hAnsi="Tw Cen MT"/>
              <w:sz w:val="24"/>
              <w:szCs w:val="24"/>
            </w:rPr>
          </w:pPr>
          <w:r>
            <w:rPr>
              <w:rFonts w:ascii="Tw Cen MT" w:hAnsi="Tw Cen MT"/>
              <w:sz w:val="24"/>
              <w:szCs w:val="24"/>
            </w:rPr>
            <w:t xml:space="preserve">San Francisco, CA </w:t>
          </w:r>
          <w:r w:rsidRPr="00E64F32">
            <w:rPr>
              <w:rFonts w:ascii="Tw Cen MT" w:hAnsi="Tw Cen MT"/>
              <w:sz w:val="24"/>
              <w:szCs w:val="24"/>
            </w:rPr>
            <w:t>94103</w:t>
          </w:r>
        </w:p>
      </w:tc>
      <w:tc>
        <w:tcPr>
          <w:tcW w:w="5035" w:type="dxa"/>
          <w:vAlign w:val="center"/>
        </w:tcPr>
        <w:p w:rsidR="00C11E5D" w:rsidRDefault="00C11E5D" w:rsidP="00C11E5D">
          <w:pPr>
            <w:pStyle w:val="Footer"/>
            <w:jc w:val="right"/>
            <w:rPr>
              <w:rFonts w:ascii="Tw Cen MT" w:hAnsi="Tw Cen MT"/>
              <w:sz w:val="24"/>
              <w:szCs w:val="24"/>
            </w:rPr>
          </w:pPr>
          <w:r w:rsidRPr="00E64F32">
            <w:rPr>
              <w:rFonts w:ascii="Tw Cen MT" w:hAnsi="Tw Cen MT"/>
              <w:sz w:val="24"/>
              <w:szCs w:val="24"/>
            </w:rPr>
            <w:t>Fax: (415</w:t>
          </w:r>
          <w:r>
            <w:rPr>
              <w:rFonts w:ascii="Tw Cen MT" w:hAnsi="Tw Cen MT"/>
              <w:sz w:val="24"/>
              <w:szCs w:val="24"/>
            </w:rPr>
            <w:t>) 701-5501</w:t>
          </w:r>
        </w:p>
      </w:tc>
    </w:tr>
    <w:tr w:rsidR="00C11E5D" w:rsidTr="00C11E5D">
      <w:tc>
        <w:tcPr>
          <w:tcW w:w="5035" w:type="dxa"/>
          <w:vAlign w:val="center"/>
        </w:tcPr>
        <w:p w:rsidR="00C11E5D" w:rsidRPr="00612EC1" w:rsidRDefault="00D37608" w:rsidP="004F401C">
          <w:pPr>
            <w:pStyle w:val="Footer"/>
            <w:rPr>
              <w:rFonts w:ascii="Tw Cen MT" w:hAnsi="Tw Cen MT"/>
              <w:sz w:val="24"/>
              <w:szCs w:val="24"/>
            </w:rPr>
          </w:pPr>
          <w:hyperlink r:id="rId1" w:history="1">
            <w:r w:rsidR="004F401C" w:rsidRPr="00612EC1">
              <w:rPr>
                <w:rStyle w:val="Hyperlink"/>
                <w:rFonts w:ascii="Tw Cen MT" w:hAnsi="Tw Cen MT"/>
                <w:color w:val="auto"/>
                <w:sz w:val="24"/>
                <w:szCs w:val="24"/>
                <w:u w:val="none"/>
              </w:rPr>
              <w:t>www.sfmohcd.org</w:t>
            </w:r>
          </w:hyperlink>
        </w:p>
      </w:tc>
      <w:tc>
        <w:tcPr>
          <w:tcW w:w="5035" w:type="dxa"/>
          <w:vAlign w:val="center"/>
        </w:tcPr>
        <w:p w:rsidR="00C11E5D" w:rsidRDefault="00C11E5D" w:rsidP="00C11E5D">
          <w:pPr>
            <w:pStyle w:val="Footer"/>
            <w:jc w:val="right"/>
            <w:rPr>
              <w:rFonts w:ascii="Tw Cen MT" w:hAnsi="Tw Cen MT"/>
              <w:sz w:val="24"/>
              <w:szCs w:val="24"/>
            </w:rPr>
          </w:pPr>
          <w:r>
            <w:rPr>
              <w:rFonts w:ascii="Tw Cen MT" w:hAnsi="Tw Cen MT"/>
              <w:sz w:val="24"/>
              <w:szCs w:val="24"/>
            </w:rPr>
            <w:t>TDD: (415) 701-5503</w:t>
          </w:r>
        </w:p>
      </w:tc>
    </w:tr>
  </w:tbl>
  <w:p w:rsidR="00EA5FEE" w:rsidRPr="00E64F32" w:rsidRDefault="00EA5FEE" w:rsidP="00C11E5D">
    <w:pPr>
      <w:pStyle w:val="Footer"/>
      <w:rPr>
        <w:rFonts w:ascii="Tw Cen MT" w:hAnsi="Tw Cen M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5FEE" w:rsidRDefault="00EA5FEE">
      <w:r>
        <w:separator/>
      </w:r>
    </w:p>
  </w:footnote>
  <w:footnote w:type="continuationSeparator" w:id="0">
    <w:p w:rsidR="00EA5FEE" w:rsidRDefault="00EA5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FEE" w:rsidRDefault="00EA5FEE">
    <w:pPr>
      <w:pStyle w:val="Header"/>
    </w:pPr>
    <w:r>
      <w:t xml:space="preserve">Page   </w:t>
    </w:r>
    <w:r w:rsidR="00AB4B8E">
      <w:fldChar w:fldCharType="begin"/>
    </w:r>
    <w:r w:rsidR="00AB4B8E">
      <w:instrText xml:space="preserve"> PAGE   \* MERGEFORMAT </w:instrText>
    </w:r>
    <w:r w:rsidR="00AB4B8E">
      <w:fldChar w:fldCharType="separate"/>
    </w:r>
    <w:r w:rsidR="00D001E2">
      <w:rPr>
        <w:noProof/>
      </w:rPr>
      <w:t>2</w:t>
    </w:r>
    <w:r w:rsidR="00AB4B8E">
      <w:rPr>
        <w:noProof/>
      </w:rPr>
      <w:fldChar w:fldCharType="end"/>
    </w:r>
  </w:p>
  <w:p w:rsidR="00EA5FEE" w:rsidRDefault="00EA5F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8460" w:type="dxa"/>
      <w:tblInd w:w="-5" w:type="dxa"/>
      <w:tblBorders>
        <w:top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4"/>
      <w:gridCol w:w="4506"/>
    </w:tblGrid>
    <w:tr w:rsidR="00421DE6" w:rsidTr="004D5EB0">
      <w:trPr>
        <w:trHeight w:val="350"/>
      </w:trPr>
      <w:tc>
        <w:tcPr>
          <w:tcW w:w="3954" w:type="dxa"/>
          <w:vMerge w:val="restart"/>
          <w:vAlign w:val="center"/>
        </w:tcPr>
        <w:p w:rsidR="00421DE6" w:rsidRPr="00421DE6" w:rsidRDefault="00421DE6" w:rsidP="00421DE6">
          <w:pPr>
            <w:rPr>
              <w:rFonts w:ascii="Tw Cen MT" w:eastAsia="Calibri" w:hAnsi="Tw Cen MT"/>
              <w:b/>
              <w:sz w:val="32"/>
              <w:szCs w:val="32"/>
            </w:rPr>
          </w:pPr>
          <w:r w:rsidRPr="00421DE6">
            <w:rPr>
              <w:rFonts w:ascii="Tw Cen MT" w:eastAsia="Calibri" w:hAnsi="Tw Cen MT"/>
              <w:b/>
              <w:sz w:val="32"/>
              <w:szCs w:val="32"/>
            </w:rPr>
            <w:t>Mayor’s Office of Housing</w:t>
          </w:r>
        </w:p>
        <w:p w:rsidR="00421DE6" w:rsidRPr="00421DE6" w:rsidRDefault="00421DE6" w:rsidP="00421DE6">
          <w:pPr>
            <w:rPr>
              <w:rFonts w:ascii="Tw Cen MT" w:eastAsia="Calibri" w:hAnsi="Tw Cen MT"/>
              <w:b/>
              <w:sz w:val="32"/>
              <w:szCs w:val="32"/>
            </w:rPr>
          </w:pPr>
          <w:r w:rsidRPr="00421DE6">
            <w:rPr>
              <w:rFonts w:ascii="Tw Cen MT" w:eastAsia="Calibri" w:hAnsi="Tw Cen MT"/>
              <w:b/>
              <w:sz w:val="32"/>
              <w:szCs w:val="32"/>
            </w:rPr>
            <w:t>&amp; Community Development</w:t>
          </w:r>
        </w:p>
        <w:p w:rsidR="00421DE6" w:rsidRPr="00421DE6" w:rsidRDefault="00421DE6" w:rsidP="00421DE6">
          <w:pPr>
            <w:rPr>
              <w:rFonts w:ascii="Tw Cen MT" w:eastAsia="Calibri" w:hAnsi="Tw Cen MT"/>
              <w:b/>
              <w:sz w:val="32"/>
              <w:szCs w:val="32"/>
            </w:rPr>
          </w:pPr>
          <w:r w:rsidRPr="00421DE6">
            <w:rPr>
              <w:rFonts w:ascii="Tw Cen MT" w:eastAsia="Calibri" w:hAnsi="Tw Cen MT"/>
              <w:b/>
              <w:sz w:val="32"/>
              <w:szCs w:val="32"/>
            </w:rPr>
            <w:t>(MOHCD)</w:t>
          </w:r>
        </w:p>
      </w:tc>
      <w:tc>
        <w:tcPr>
          <w:tcW w:w="4506" w:type="dxa"/>
          <w:vAlign w:val="center"/>
        </w:tcPr>
        <w:p w:rsidR="00421DE6" w:rsidRPr="00793839" w:rsidRDefault="00282158" w:rsidP="00C11E5D">
          <w:pPr>
            <w:jc w:val="right"/>
            <w:rPr>
              <w:rFonts w:ascii="Tw Cen MT" w:eastAsia="Calibri" w:hAnsi="Tw Cen MT"/>
              <w:sz w:val="24"/>
              <w:szCs w:val="24"/>
            </w:rPr>
          </w:pPr>
          <w:r>
            <w:rPr>
              <w:rFonts w:ascii="Tw Cen MT" w:eastAsia="Calibri" w:hAnsi="Tw Cen MT"/>
              <w:b/>
              <w:sz w:val="24"/>
              <w:szCs w:val="24"/>
            </w:rPr>
            <w:t>London N. Breed</w:t>
          </w:r>
        </w:p>
        <w:p w:rsidR="00421DE6" w:rsidRPr="00C11E5D" w:rsidRDefault="00421DE6" w:rsidP="00C11E5D">
          <w:pPr>
            <w:jc w:val="right"/>
            <w:rPr>
              <w:rFonts w:ascii="Tw Cen MT" w:eastAsia="Calibri" w:hAnsi="Tw Cen MT"/>
              <w:sz w:val="32"/>
              <w:szCs w:val="32"/>
            </w:rPr>
          </w:pPr>
          <w:r w:rsidRPr="00793839">
            <w:rPr>
              <w:rFonts w:ascii="Tw Cen MT" w:eastAsia="Calibri" w:hAnsi="Tw Cen MT"/>
              <w:sz w:val="24"/>
              <w:szCs w:val="24"/>
            </w:rPr>
            <w:t>Mayor</w:t>
          </w:r>
        </w:p>
      </w:tc>
    </w:tr>
    <w:tr w:rsidR="00421DE6" w:rsidTr="004D5EB0">
      <w:trPr>
        <w:trHeight w:val="170"/>
      </w:trPr>
      <w:tc>
        <w:tcPr>
          <w:tcW w:w="3954" w:type="dxa"/>
          <w:vMerge/>
        </w:tcPr>
        <w:p w:rsidR="00421DE6" w:rsidRPr="00C11E5D" w:rsidRDefault="00421DE6" w:rsidP="00C11E5D">
          <w:pPr>
            <w:jc w:val="right"/>
            <w:rPr>
              <w:rFonts w:ascii="Tw Cen MT" w:eastAsia="Calibri" w:hAnsi="Tw Cen MT"/>
              <w:sz w:val="32"/>
              <w:szCs w:val="32"/>
            </w:rPr>
          </w:pPr>
        </w:p>
      </w:tc>
      <w:tc>
        <w:tcPr>
          <w:tcW w:w="4506" w:type="dxa"/>
          <w:vAlign w:val="center"/>
        </w:tcPr>
        <w:p w:rsidR="00421DE6" w:rsidRPr="00421DE6" w:rsidRDefault="00421DE6" w:rsidP="00C11E5D">
          <w:pPr>
            <w:jc w:val="right"/>
            <w:rPr>
              <w:rFonts w:ascii="Tw Cen MT" w:eastAsia="Calibri" w:hAnsi="Tw Cen MT"/>
              <w:sz w:val="16"/>
              <w:szCs w:val="16"/>
            </w:rPr>
          </w:pPr>
        </w:p>
      </w:tc>
    </w:tr>
    <w:tr w:rsidR="00421DE6" w:rsidTr="004D5EB0">
      <w:trPr>
        <w:trHeight w:val="70"/>
      </w:trPr>
      <w:tc>
        <w:tcPr>
          <w:tcW w:w="3954" w:type="dxa"/>
          <w:vMerge/>
        </w:tcPr>
        <w:p w:rsidR="00421DE6" w:rsidRPr="00793839" w:rsidRDefault="00421DE6" w:rsidP="00C11E5D">
          <w:pPr>
            <w:jc w:val="right"/>
            <w:rPr>
              <w:rFonts w:ascii="Tw Cen MT" w:eastAsia="Calibri" w:hAnsi="Tw Cen MT"/>
              <w:b/>
              <w:sz w:val="24"/>
              <w:szCs w:val="24"/>
            </w:rPr>
          </w:pPr>
        </w:p>
      </w:tc>
      <w:tc>
        <w:tcPr>
          <w:tcW w:w="4506" w:type="dxa"/>
          <w:vAlign w:val="center"/>
        </w:tcPr>
        <w:p w:rsidR="00421DE6" w:rsidRPr="00793839" w:rsidRDefault="00594128" w:rsidP="00C11E5D">
          <w:pPr>
            <w:jc w:val="right"/>
            <w:rPr>
              <w:rFonts w:ascii="Tw Cen MT" w:eastAsia="Calibri" w:hAnsi="Tw Cen MT"/>
              <w:sz w:val="24"/>
              <w:szCs w:val="24"/>
            </w:rPr>
          </w:pPr>
          <w:r>
            <w:rPr>
              <w:rFonts w:ascii="Tw Cen MT" w:eastAsia="Calibri" w:hAnsi="Tw Cen MT"/>
              <w:b/>
              <w:sz w:val="24"/>
              <w:szCs w:val="24"/>
            </w:rPr>
            <w:t>Eric D. Shaw</w:t>
          </w:r>
        </w:p>
        <w:p w:rsidR="00421DE6" w:rsidRDefault="00421DE6" w:rsidP="00C11E5D">
          <w:pPr>
            <w:jc w:val="right"/>
            <w:rPr>
              <w:rFonts w:ascii="Tw Cen MT" w:eastAsia="Calibri" w:hAnsi="Tw Cen MT"/>
              <w:b/>
              <w:sz w:val="32"/>
              <w:szCs w:val="32"/>
            </w:rPr>
          </w:pPr>
          <w:r w:rsidRPr="00793839">
            <w:rPr>
              <w:rFonts w:ascii="Tw Cen MT" w:eastAsia="Calibri" w:hAnsi="Tw Cen MT"/>
              <w:sz w:val="24"/>
              <w:szCs w:val="24"/>
            </w:rPr>
            <w:t>Director</w:t>
          </w:r>
        </w:p>
      </w:tc>
    </w:tr>
  </w:tbl>
  <w:p w:rsidR="00E64F32" w:rsidRPr="00BC19DF" w:rsidRDefault="00421DE6" w:rsidP="00E64F32">
    <w:pPr>
      <w:rPr>
        <w:rFonts w:ascii="Tw Cen MT" w:eastAsia="Calibri" w:hAnsi="Tw Cen MT"/>
        <w:b/>
        <w:sz w:val="32"/>
        <w:szCs w:val="32"/>
      </w:rPr>
    </w:pPr>
    <w:r w:rsidRPr="00E64F32">
      <w:rPr>
        <w:rFonts w:ascii="Calibri" w:eastAsia="Calibri" w:hAnsi="Calibri"/>
        <w:noProof/>
        <w:sz w:val="22"/>
        <w:szCs w:val="22"/>
      </w:rPr>
      <w:drawing>
        <wp:anchor distT="0" distB="0" distL="114300" distR="114300" simplePos="0" relativeHeight="251663360" behindDoc="1" locked="0" layoutInCell="1" allowOverlap="1" wp14:anchorId="011FDA8A" wp14:editId="3E0FA19F">
          <wp:simplePos x="0" y="0"/>
          <wp:positionH relativeFrom="margin">
            <wp:posOffset>-635</wp:posOffset>
          </wp:positionH>
          <wp:positionV relativeFrom="margin">
            <wp:posOffset>-933450</wp:posOffset>
          </wp:positionV>
          <wp:extent cx="868053" cy="82296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8053" cy="822960"/>
                  </a:xfrm>
                  <a:prstGeom prst="rect">
                    <a:avLst/>
                  </a:prstGeom>
                  <a:noFill/>
                  <a:ln>
                    <a:noFill/>
                  </a:ln>
                </pic:spPr>
              </pic:pic>
            </a:graphicData>
          </a:graphic>
          <wp14:sizeRelH relativeFrom="page">
            <wp14:pctWidth>0</wp14:pctWidth>
          </wp14:sizeRelH>
          <wp14:sizeRelV relativeFrom="page">
            <wp14:pctHeight>0</wp14:pctHeight>
          </wp14:sizeRelV>
        </wp:anchor>
      </w:drawing>
    </w:r>
    <w:r w:rsidR="00BC19DF">
      <w:rPr>
        <w:rFonts w:ascii="Tw Cen MT" w:eastAsia="Calibri" w:hAnsi="Tw Cen MT"/>
        <w:b/>
        <w:sz w:val="16"/>
        <w:szCs w:val="16"/>
      </w:rPr>
      <w:t>_____________________________________________________________________________________________________________________________</w:t>
    </w:r>
    <w:r w:rsidR="0002072F">
      <w:rPr>
        <w:rFonts w:ascii="Tw Cen MT" w:eastAsia="Calibri" w:hAnsi="Tw Cen MT"/>
        <w:b/>
        <w:sz w:val="16"/>
        <w:szCs w:val="16"/>
      </w:rPr>
      <w:t>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A1C51"/>
    <w:multiLevelType w:val="hybridMultilevel"/>
    <w:tmpl w:val="CDB2B276"/>
    <w:lvl w:ilvl="0" w:tplc="6BA89AB6">
      <w:start w:val="1"/>
      <w:numFmt w:val="upperLetter"/>
      <w:lvlText w:val="%1."/>
      <w:lvlJc w:val="left"/>
      <w:pPr>
        <w:ind w:left="630" w:hanging="360"/>
      </w:pPr>
      <w:rPr>
        <w:rFonts w:eastAsia="Arial Unicode M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77E0CC6"/>
    <w:multiLevelType w:val="hybridMultilevel"/>
    <w:tmpl w:val="8D64A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CA1D21"/>
    <w:multiLevelType w:val="hybridMultilevel"/>
    <w:tmpl w:val="997E18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D336E5"/>
    <w:multiLevelType w:val="hybridMultilevel"/>
    <w:tmpl w:val="54A82266"/>
    <w:lvl w:ilvl="0" w:tplc="78F01E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8B36DE"/>
    <w:multiLevelType w:val="hybridMultilevel"/>
    <w:tmpl w:val="9992F2BA"/>
    <w:lvl w:ilvl="0" w:tplc="FFA02A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4B4738"/>
    <w:multiLevelType w:val="hybridMultilevel"/>
    <w:tmpl w:val="F1B42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B31ABC"/>
    <w:multiLevelType w:val="hybridMultilevel"/>
    <w:tmpl w:val="2B3872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1376E1"/>
    <w:multiLevelType w:val="hybridMultilevel"/>
    <w:tmpl w:val="F4A03A3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317332A"/>
    <w:multiLevelType w:val="hybridMultilevel"/>
    <w:tmpl w:val="6F4C4474"/>
    <w:lvl w:ilvl="0" w:tplc="A90810EA">
      <w:start w:val="1"/>
      <w:numFmt w:val="decimal"/>
      <w:lvlText w:val="%1."/>
      <w:lvlJc w:val="left"/>
      <w:pPr>
        <w:ind w:left="360" w:hanging="360"/>
      </w:pPr>
      <w:rPr>
        <w:rFonts w:ascii="Times New Roman" w:eastAsia="Arial Unicode MS" w:hAnsi="Times New Roman" w:cs="Arial Unicode M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150C15"/>
    <w:multiLevelType w:val="hybridMultilevel"/>
    <w:tmpl w:val="6C7C3E5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AA163F9"/>
    <w:multiLevelType w:val="hybridMultilevel"/>
    <w:tmpl w:val="A43C38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DD54861"/>
    <w:multiLevelType w:val="hybridMultilevel"/>
    <w:tmpl w:val="E1A29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983F72"/>
    <w:multiLevelType w:val="hybridMultilevel"/>
    <w:tmpl w:val="97B2F6B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6DE6FBC"/>
    <w:multiLevelType w:val="hybridMultilevel"/>
    <w:tmpl w:val="E1AE64AC"/>
    <w:lvl w:ilvl="0" w:tplc="88D871A4">
      <w:start w:val="1"/>
      <w:numFmt w:val="decimal"/>
      <w:lvlText w:val="%1."/>
      <w:lvlJc w:val="left"/>
      <w:pPr>
        <w:ind w:left="-360" w:hanging="360"/>
      </w:pPr>
      <w:rPr>
        <w:rFonts w:ascii="Times New Roman" w:eastAsia="Arial Unicode MS" w:hAnsi="Times New Roman" w:cs="Arial Unicode MS"/>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15:restartNumberingAfterBreak="0">
    <w:nsid w:val="4B583E07"/>
    <w:multiLevelType w:val="hybridMultilevel"/>
    <w:tmpl w:val="81A4F1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C1333D1"/>
    <w:multiLevelType w:val="hybridMultilevel"/>
    <w:tmpl w:val="52CCF69A"/>
    <w:lvl w:ilvl="0" w:tplc="FE84AE10">
      <w:start w:val="1"/>
      <w:numFmt w:val="decimal"/>
      <w:lvlText w:val="%1."/>
      <w:lvlJc w:val="left"/>
      <w:pPr>
        <w:ind w:left="1080" w:hanging="360"/>
      </w:pPr>
      <w:rPr>
        <w:rFonts w:eastAsia="Calibri"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F635629"/>
    <w:multiLevelType w:val="hybridMultilevel"/>
    <w:tmpl w:val="6F0208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8C271B"/>
    <w:multiLevelType w:val="hybridMultilevel"/>
    <w:tmpl w:val="6F0208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463376"/>
    <w:multiLevelType w:val="hybridMultilevel"/>
    <w:tmpl w:val="6F4C4474"/>
    <w:lvl w:ilvl="0" w:tplc="A90810EA">
      <w:start w:val="1"/>
      <w:numFmt w:val="decimal"/>
      <w:lvlText w:val="%1."/>
      <w:lvlJc w:val="left"/>
      <w:pPr>
        <w:ind w:left="-360" w:hanging="360"/>
      </w:pPr>
      <w:rPr>
        <w:rFonts w:ascii="Times New Roman" w:eastAsia="Arial Unicode MS" w:hAnsi="Times New Roman" w:cs="Arial Unicode MS"/>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9" w15:restartNumberingAfterBreak="0">
    <w:nsid w:val="662B4776"/>
    <w:multiLevelType w:val="hybridMultilevel"/>
    <w:tmpl w:val="5DE24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C42A06"/>
    <w:multiLevelType w:val="hybridMultilevel"/>
    <w:tmpl w:val="6F4C4474"/>
    <w:lvl w:ilvl="0" w:tplc="A90810EA">
      <w:start w:val="1"/>
      <w:numFmt w:val="decimal"/>
      <w:lvlText w:val="%1."/>
      <w:lvlJc w:val="left"/>
      <w:pPr>
        <w:ind w:left="1080" w:hanging="360"/>
      </w:pPr>
      <w:rPr>
        <w:rFonts w:ascii="Times New Roman" w:eastAsia="Arial Unicode MS" w:hAnsi="Times New Roman" w:cs="Arial Unicode M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F815247"/>
    <w:multiLevelType w:val="hybridMultilevel"/>
    <w:tmpl w:val="5A12D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1"/>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9"/>
  </w:num>
  <w:num w:numId="7">
    <w:abstractNumId w:val="21"/>
  </w:num>
  <w:num w:numId="8">
    <w:abstractNumId w:val="2"/>
  </w:num>
  <w:num w:numId="9">
    <w:abstractNumId w:val="16"/>
  </w:num>
  <w:num w:numId="10">
    <w:abstractNumId w:val="17"/>
  </w:num>
  <w:num w:numId="11">
    <w:abstractNumId w:val="18"/>
  </w:num>
  <w:num w:numId="12">
    <w:abstractNumId w:val="13"/>
  </w:num>
  <w:num w:numId="13">
    <w:abstractNumId w:val="8"/>
  </w:num>
  <w:num w:numId="14">
    <w:abstractNumId w:val="20"/>
  </w:num>
  <w:num w:numId="15">
    <w:abstractNumId w:val="15"/>
  </w:num>
  <w:num w:numId="16">
    <w:abstractNumId w:val="10"/>
  </w:num>
  <w:num w:numId="17">
    <w:abstractNumId w:val="7"/>
  </w:num>
  <w:num w:numId="18">
    <w:abstractNumId w:val="0"/>
  </w:num>
  <w:num w:numId="19">
    <w:abstractNumId w:val="5"/>
  </w:num>
  <w:num w:numId="20">
    <w:abstractNumId w:val="6"/>
  </w:num>
  <w:num w:numId="21">
    <w:abstractNumId w:val="1"/>
  </w:num>
  <w:num w:numId="22">
    <w:abstractNumId w:val="3"/>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0"/>
  <w:doNotHyphenateCaps/>
  <w:displayHorizontalDrawingGridEvery w:val="0"/>
  <w:displayVerticalDrawingGridEvery w:val="0"/>
  <w:doNotUseMarginsForDrawingGridOrigin/>
  <w:doNotShadeFormData/>
  <w:characterSpacingControl w:val="doNotCompress"/>
  <w:hdrShapeDefaults>
    <o:shapedefaults v:ext="edit" spidmax="162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D4C"/>
    <w:rsid w:val="000124BD"/>
    <w:rsid w:val="00016EEF"/>
    <w:rsid w:val="0002072F"/>
    <w:rsid w:val="00035D32"/>
    <w:rsid w:val="0004320E"/>
    <w:rsid w:val="0005416D"/>
    <w:rsid w:val="00060B15"/>
    <w:rsid w:val="00070604"/>
    <w:rsid w:val="0007148E"/>
    <w:rsid w:val="00082794"/>
    <w:rsid w:val="000A2DAC"/>
    <w:rsid w:val="000A6FDA"/>
    <w:rsid w:val="000B1E9D"/>
    <w:rsid w:val="000C1146"/>
    <w:rsid w:val="000D0194"/>
    <w:rsid w:val="000F75EE"/>
    <w:rsid w:val="001124C2"/>
    <w:rsid w:val="00115703"/>
    <w:rsid w:val="00122A69"/>
    <w:rsid w:val="00123A58"/>
    <w:rsid w:val="00142950"/>
    <w:rsid w:val="00173B56"/>
    <w:rsid w:val="00193C8C"/>
    <w:rsid w:val="001A105F"/>
    <w:rsid w:val="001A2EE5"/>
    <w:rsid w:val="001A4E6E"/>
    <w:rsid w:val="001D0E3F"/>
    <w:rsid w:val="001D5AD3"/>
    <w:rsid w:val="00273D14"/>
    <w:rsid w:val="0027534D"/>
    <w:rsid w:val="00282158"/>
    <w:rsid w:val="002A542B"/>
    <w:rsid w:val="002C2C9D"/>
    <w:rsid w:val="002C61D7"/>
    <w:rsid w:val="002E5C58"/>
    <w:rsid w:val="003077C7"/>
    <w:rsid w:val="00313F25"/>
    <w:rsid w:val="003230B1"/>
    <w:rsid w:val="00324440"/>
    <w:rsid w:val="00336984"/>
    <w:rsid w:val="003435B4"/>
    <w:rsid w:val="00395FA2"/>
    <w:rsid w:val="003B3E5A"/>
    <w:rsid w:val="003C684F"/>
    <w:rsid w:val="003C69F4"/>
    <w:rsid w:val="003F2F54"/>
    <w:rsid w:val="0040132F"/>
    <w:rsid w:val="00402028"/>
    <w:rsid w:val="00415A63"/>
    <w:rsid w:val="004164F2"/>
    <w:rsid w:val="00420EFD"/>
    <w:rsid w:val="00421DE6"/>
    <w:rsid w:val="00422B47"/>
    <w:rsid w:val="0044122E"/>
    <w:rsid w:val="00450EF6"/>
    <w:rsid w:val="00460399"/>
    <w:rsid w:val="00471AA5"/>
    <w:rsid w:val="00471BF2"/>
    <w:rsid w:val="00473210"/>
    <w:rsid w:val="00477984"/>
    <w:rsid w:val="0048180F"/>
    <w:rsid w:val="00485DF6"/>
    <w:rsid w:val="004A024C"/>
    <w:rsid w:val="004A1DA4"/>
    <w:rsid w:val="004A7A8A"/>
    <w:rsid w:val="004D19B1"/>
    <w:rsid w:val="004D5EB0"/>
    <w:rsid w:val="004E5414"/>
    <w:rsid w:val="004F401C"/>
    <w:rsid w:val="004F53B0"/>
    <w:rsid w:val="004F7244"/>
    <w:rsid w:val="00501CAB"/>
    <w:rsid w:val="00524981"/>
    <w:rsid w:val="00544B43"/>
    <w:rsid w:val="005457AF"/>
    <w:rsid w:val="0055686B"/>
    <w:rsid w:val="0056677C"/>
    <w:rsid w:val="00576E1E"/>
    <w:rsid w:val="00582BC2"/>
    <w:rsid w:val="00594128"/>
    <w:rsid w:val="005A2BE8"/>
    <w:rsid w:val="005B309A"/>
    <w:rsid w:val="005C2B88"/>
    <w:rsid w:val="005F06D9"/>
    <w:rsid w:val="005F2B1A"/>
    <w:rsid w:val="00602AD1"/>
    <w:rsid w:val="006043EE"/>
    <w:rsid w:val="0060575B"/>
    <w:rsid w:val="00610683"/>
    <w:rsid w:val="00612EC1"/>
    <w:rsid w:val="00617E70"/>
    <w:rsid w:val="006305D2"/>
    <w:rsid w:val="00631DAE"/>
    <w:rsid w:val="00677525"/>
    <w:rsid w:val="00692EC5"/>
    <w:rsid w:val="006962E9"/>
    <w:rsid w:val="006A6DEF"/>
    <w:rsid w:val="006F428B"/>
    <w:rsid w:val="00705807"/>
    <w:rsid w:val="00710262"/>
    <w:rsid w:val="00714D16"/>
    <w:rsid w:val="007218DC"/>
    <w:rsid w:val="0072397F"/>
    <w:rsid w:val="00744FA8"/>
    <w:rsid w:val="007452C1"/>
    <w:rsid w:val="00771E57"/>
    <w:rsid w:val="00773A27"/>
    <w:rsid w:val="00777267"/>
    <w:rsid w:val="00793839"/>
    <w:rsid w:val="007A4F16"/>
    <w:rsid w:val="007F3A9E"/>
    <w:rsid w:val="008028B6"/>
    <w:rsid w:val="008120F3"/>
    <w:rsid w:val="00830D4C"/>
    <w:rsid w:val="00854CC9"/>
    <w:rsid w:val="00871D24"/>
    <w:rsid w:val="008858BD"/>
    <w:rsid w:val="0089015B"/>
    <w:rsid w:val="008C2220"/>
    <w:rsid w:val="008D5F99"/>
    <w:rsid w:val="00907CF9"/>
    <w:rsid w:val="009141B1"/>
    <w:rsid w:val="009142B3"/>
    <w:rsid w:val="009249BC"/>
    <w:rsid w:val="009312ED"/>
    <w:rsid w:val="00936090"/>
    <w:rsid w:val="009435E5"/>
    <w:rsid w:val="00947DC2"/>
    <w:rsid w:val="00966C4F"/>
    <w:rsid w:val="0098121B"/>
    <w:rsid w:val="009954E9"/>
    <w:rsid w:val="0099756D"/>
    <w:rsid w:val="00997695"/>
    <w:rsid w:val="009D0F7F"/>
    <w:rsid w:val="009D1ACF"/>
    <w:rsid w:val="00A327DD"/>
    <w:rsid w:val="00A5374C"/>
    <w:rsid w:val="00A61AA5"/>
    <w:rsid w:val="00A66F0E"/>
    <w:rsid w:val="00A75DE7"/>
    <w:rsid w:val="00A81F6F"/>
    <w:rsid w:val="00A82B00"/>
    <w:rsid w:val="00AA37F9"/>
    <w:rsid w:val="00AA4F6B"/>
    <w:rsid w:val="00AB4B8E"/>
    <w:rsid w:val="00AC67CD"/>
    <w:rsid w:val="00AE65B8"/>
    <w:rsid w:val="00AF5D37"/>
    <w:rsid w:val="00B119EA"/>
    <w:rsid w:val="00B13ABC"/>
    <w:rsid w:val="00B20C7B"/>
    <w:rsid w:val="00B235EC"/>
    <w:rsid w:val="00B34C20"/>
    <w:rsid w:val="00B43A9B"/>
    <w:rsid w:val="00B51DBA"/>
    <w:rsid w:val="00B574FF"/>
    <w:rsid w:val="00B71584"/>
    <w:rsid w:val="00BA779C"/>
    <w:rsid w:val="00BC19DF"/>
    <w:rsid w:val="00BC6F0C"/>
    <w:rsid w:val="00BD56C7"/>
    <w:rsid w:val="00BE0DF9"/>
    <w:rsid w:val="00BF3FF6"/>
    <w:rsid w:val="00C11E5D"/>
    <w:rsid w:val="00C86012"/>
    <w:rsid w:val="00C91120"/>
    <w:rsid w:val="00C946CA"/>
    <w:rsid w:val="00CB61DA"/>
    <w:rsid w:val="00CD61E3"/>
    <w:rsid w:val="00CF4405"/>
    <w:rsid w:val="00D001E2"/>
    <w:rsid w:val="00D20BF7"/>
    <w:rsid w:val="00D37608"/>
    <w:rsid w:val="00D40132"/>
    <w:rsid w:val="00D55B75"/>
    <w:rsid w:val="00D57769"/>
    <w:rsid w:val="00D624DD"/>
    <w:rsid w:val="00D83F06"/>
    <w:rsid w:val="00DB6CAD"/>
    <w:rsid w:val="00DB7A89"/>
    <w:rsid w:val="00DE5490"/>
    <w:rsid w:val="00DF0D8F"/>
    <w:rsid w:val="00E04845"/>
    <w:rsid w:val="00E3645C"/>
    <w:rsid w:val="00E36949"/>
    <w:rsid w:val="00E438CD"/>
    <w:rsid w:val="00E456DD"/>
    <w:rsid w:val="00E57BE0"/>
    <w:rsid w:val="00E637EF"/>
    <w:rsid w:val="00E64F32"/>
    <w:rsid w:val="00E73131"/>
    <w:rsid w:val="00E76021"/>
    <w:rsid w:val="00E87433"/>
    <w:rsid w:val="00E94376"/>
    <w:rsid w:val="00EA5FEE"/>
    <w:rsid w:val="00EB14AB"/>
    <w:rsid w:val="00EB6F68"/>
    <w:rsid w:val="00EC1575"/>
    <w:rsid w:val="00EC190D"/>
    <w:rsid w:val="00EF4C22"/>
    <w:rsid w:val="00EF5F0C"/>
    <w:rsid w:val="00EF7D0F"/>
    <w:rsid w:val="00F12CAF"/>
    <w:rsid w:val="00F20EA7"/>
    <w:rsid w:val="00F23C8D"/>
    <w:rsid w:val="00F262AB"/>
    <w:rsid w:val="00F34959"/>
    <w:rsid w:val="00F61976"/>
    <w:rsid w:val="00F75AF6"/>
    <w:rsid w:val="00F76E0A"/>
    <w:rsid w:val="00F80625"/>
    <w:rsid w:val="00FC51D9"/>
    <w:rsid w:val="00FC5296"/>
    <w:rsid w:val="00FE0694"/>
    <w:rsid w:val="00FF2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2817"/>
    <o:shapelayout v:ext="edit">
      <o:idmap v:ext="edit" data="1"/>
    </o:shapelayout>
  </w:shapeDefaults>
  <w:decimalSymbol w:val="."/>
  <w:listSeparator w:val=","/>
  <w14:docId w14:val="753DB364"/>
  <w15:docId w15:val="{FFC6D1FF-3272-4BFB-90BA-1E6833183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7984"/>
    <w:rPr>
      <w:rFonts w:ascii="Helvetica" w:hAnsi="Helvetica"/>
    </w:rPr>
  </w:style>
  <w:style w:type="paragraph" w:styleId="Heading1">
    <w:name w:val="heading 1"/>
    <w:basedOn w:val="Normal"/>
    <w:next w:val="Normal"/>
    <w:qFormat/>
    <w:rsid w:val="00477984"/>
    <w:pPr>
      <w:keepNext/>
      <w:jc w:val="center"/>
      <w:outlineLvl w:val="0"/>
    </w:pPr>
    <w:rPr>
      <w:b/>
      <w:bCs/>
      <w:sz w:val="24"/>
      <w:szCs w:val="24"/>
      <w:u w:val="single"/>
    </w:rPr>
  </w:style>
  <w:style w:type="paragraph" w:styleId="Heading2">
    <w:name w:val="heading 2"/>
    <w:basedOn w:val="Normal"/>
    <w:next w:val="Normal"/>
    <w:qFormat/>
    <w:rsid w:val="00477984"/>
    <w:pPr>
      <w:keepNext/>
      <w:outlineLvl w:val="1"/>
    </w:pPr>
    <w:rPr>
      <w:rFonts w:ascii="Arial" w:hAnsi="Arial" w:cs="Arial"/>
      <w:b/>
      <w:bCs/>
      <w:sz w:val="24"/>
      <w:szCs w:val="24"/>
    </w:rPr>
  </w:style>
  <w:style w:type="paragraph" w:styleId="Heading3">
    <w:name w:val="heading 3"/>
    <w:basedOn w:val="Normal"/>
    <w:next w:val="Normal"/>
    <w:qFormat/>
    <w:rsid w:val="0047798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77984"/>
    <w:pPr>
      <w:tabs>
        <w:tab w:val="center" w:pos="4320"/>
        <w:tab w:val="right" w:pos="8640"/>
      </w:tabs>
    </w:pPr>
    <w:rPr>
      <w:rFonts w:cs="Helvetica"/>
    </w:rPr>
  </w:style>
  <w:style w:type="paragraph" w:styleId="Header">
    <w:name w:val="header"/>
    <w:basedOn w:val="Normal"/>
    <w:semiHidden/>
    <w:rsid w:val="00477984"/>
    <w:pPr>
      <w:tabs>
        <w:tab w:val="center" w:pos="4320"/>
        <w:tab w:val="right" w:pos="8640"/>
      </w:tabs>
    </w:pPr>
    <w:rPr>
      <w:rFonts w:cs="Helvetica"/>
    </w:rPr>
  </w:style>
  <w:style w:type="paragraph" w:styleId="Title">
    <w:name w:val="Title"/>
    <w:basedOn w:val="Normal"/>
    <w:qFormat/>
    <w:rsid w:val="00477984"/>
    <w:pPr>
      <w:jc w:val="center"/>
    </w:pPr>
    <w:rPr>
      <w:rFonts w:cs="Helvetica"/>
      <w:b/>
      <w:bCs/>
      <w:sz w:val="24"/>
      <w:szCs w:val="24"/>
    </w:rPr>
  </w:style>
  <w:style w:type="paragraph" w:styleId="BodyText">
    <w:name w:val="Body Text"/>
    <w:basedOn w:val="Normal"/>
    <w:semiHidden/>
    <w:rsid w:val="00477984"/>
    <w:pPr>
      <w:widowControl w:val="0"/>
      <w:overflowPunct w:val="0"/>
      <w:autoSpaceDE w:val="0"/>
      <w:autoSpaceDN w:val="0"/>
      <w:adjustRightInd w:val="0"/>
      <w:textAlignment w:val="baseline"/>
    </w:pPr>
    <w:rPr>
      <w:rFonts w:cs="Helvetica"/>
      <w:b/>
      <w:bCs/>
      <w:sz w:val="24"/>
      <w:szCs w:val="24"/>
    </w:rPr>
  </w:style>
  <w:style w:type="paragraph" w:styleId="BodyTextIndent">
    <w:name w:val="Body Text Indent"/>
    <w:basedOn w:val="Normal"/>
    <w:semiHidden/>
    <w:rsid w:val="00477984"/>
    <w:rPr>
      <w:rFonts w:ascii="Arial" w:hAnsi="Arial" w:cs="Arial"/>
      <w:sz w:val="24"/>
      <w:szCs w:val="24"/>
    </w:rPr>
  </w:style>
  <w:style w:type="character" w:styleId="Hyperlink">
    <w:name w:val="Hyperlink"/>
    <w:basedOn w:val="DefaultParagraphFont"/>
    <w:semiHidden/>
    <w:rsid w:val="00477984"/>
    <w:rPr>
      <w:color w:val="0000FF"/>
      <w:u w:val="single"/>
    </w:rPr>
  </w:style>
  <w:style w:type="paragraph" w:styleId="MessageHeader">
    <w:name w:val="Message Header"/>
    <w:basedOn w:val="BodyText"/>
    <w:semiHidden/>
    <w:rsid w:val="00477984"/>
    <w:pPr>
      <w:keepLines/>
      <w:widowControl/>
      <w:overflowPunct/>
      <w:autoSpaceDE/>
      <w:autoSpaceDN/>
      <w:adjustRightInd/>
      <w:spacing w:line="415" w:lineRule="atLeast"/>
      <w:ind w:left="1560" w:right="-360" w:hanging="720"/>
      <w:textAlignment w:val="auto"/>
    </w:pPr>
    <w:rPr>
      <w:rFonts w:ascii="Times New Roman" w:hAnsi="Times New Roman" w:cs="Times New Roman"/>
      <w:b w:val="0"/>
      <w:bCs w:val="0"/>
      <w:szCs w:val="20"/>
    </w:rPr>
  </w:style>
  <w:style w:type="character" w:customStyle="1" w:styleId="MessageHeaderChar">
    <w:name w:val="Message Header Char"/>
    <w:basedOn w:val="DefaultParagraphFont"/>
    <w:semiHidden/>
    <w:rsid w:val="00477984"/>
    <w:rPr>
      <w:sz w:val="24"/>
    </w:rPr>
  </w:style>
  <w:style w:type="paragraph" w:customStyle="1" w:styleId="MessageHeaderFirst">
    <w:name w:val="Message Header First"/>
    <w:basedOn w:val="MessageHeader"/>
    <w:next w:val="MessageHeader"/>
    <w:rsid w:val="00477984"/>
  </w:style>
  <w:style w:type="character" w:customStyle="1" w:styleId="MessageHeaderLabel">
    <w:name w:val="Message Header Label"/>
    <w:rsid w:val="00477984"/>
    <w:rPr>
      <w:rFonts w:ascii="Arial" w:hAnsi="Arial"/>
      <w:b/>
      <w:spacing w:val="-4"/>
      <w:sz w:val="18"/>
      <w:vertAlign w:val="baseline"/>
    </w:rPr>
  </w:style>
  <w:style w:type="paragraph" w:customStyle="1" w:styleId="MessageHeaderLast">
    <w:name w:val="Message Header Last"/>
    <w:basedOn w:val="MessageHeader"/>
    <w:next w:val="BodyText"/>
    <w:rsid w:val="00477984"/>
    <w:pPr>
      <w:pBdr>
        <w:bottom w:val="single" w:sz="6" w:space="22" w:color="auto"/>
      </w:pBdr>
      <w:spacing w:after="400"/>
    </w:pPr>
  </w:style>
  <w:style w:type="character" w:customStyle="1" w:styleId="Heading3Char">
    <w:name w:val="Heading 3 Char"/>
    <w:basedOn w:val="DefaultParagraphFont"/>
    <w:semiHidden/>
    <w:rsid w:val="00477984"/>
    <w:rPr>
      <w:rFonts w:ascii="Cambria" w:eastAsia="Times New Roman" w:hAnsi="Cambria" w:cs="Times New Roman"/>
      <w:b/>
      <w:bCs/>
      <w:sz w:val="26"/>
      <w:szCs w:val="26"/>
    </w:rPr>
  </w:style>
  <w:style w:type="paragraph" w:styleId="BalloonText">
    <w:name w:val="Balloon Text"/>
    <w:basedOn w:val="Normal"/>
    <w:link w:val="BalloonTextChar"/>
    <w:uiPriority w:val="99"/>
    <w:semiHidden/>
    <w:unhideWhenUsed/>
    <w:rsid w:val="00D83F06"/>
    <w:rPr>
      <w:rFonts w:ascii="Tahoma" w:hAnsi="Tahoma" w:cs="Tahoma"/>
      <w:sz w:val="16"/>
      <w:szCs w:val="16"/>
    </w:rPr>
  </w:style>
  <w:style w:type="character" w:customStyle="1" w:styleId="BalloonTextChar">
    <w:name w:val="Balloon Text Char"/>
    <w:basedOn w:val="DefaultParagraphFont"/>
    <w:link w:val="BalloonText"/>
    <w:uiPriority w:val="99"/>
    <w:semiHidden/>
    <w:rsid w:val="00D83F06"/>
    <w:rPr>
      <w:rFonts w:ascii="Tahoma" w:hAnsi="Tahoma" w:cs="Tahoma"/>
      <w:sz w:val="16"/>
      <w:szCs w:val="16"/>
    </w:rPr>
  </w:style>
  <w:style w:type="paragraph" w:styleId="ListParagraph">
    <w:name w:val="List Paragraph"/>
    <w:basedOn w:val="Normal"/>
    <w:uiPriority w:val="34"/>
    <w:qFormat/>
    <w:rsid w:val="0072397F"/>
    <w:pPr>
      <w:ind w:left="720"/>
      <w:contextualSpacing/>
    </w:pPr>
  </w:style>
  <w:style w:type="paragraph" w:customStyle="1" w:styleId="Standard">
    <w:name w:val="Standard"/>
    <w:rsid w:val="00AA4F6B"/>
    <w:pPr>
      <w:suppressAutoHyphens/>
      <w:autoSpaceDN w:val="0"/>
      <w:textAlignment w:val="baseline"/>
    </w:pPr>
    <w:rPr>
      <w:rFonts w:eastAsia="Arial Unicode MS" w:cs="Arial Unicode MS"/>
      <w:kern w:val="3"/>
      <w:sz w:val="24"/>
      <w:szCs w:val="24"/>
      <w:lang w:eastAsia="zh-CN" w:bidi="hi-IN"/>
    </w:rPr>
  </w:style>
  <w:style w:type="table" w:styleId="TableGrid">
    <w:name w:val="Table Grid"/>
    <w:basedOn w:val="TableNormal"/>
    <w:uiPriority w:val="59"/>
    <w:rsid w:val="00C11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11E5D"/>
    <w:rPr>
      <w:color w:val="800080" w:themeColor="followedHyperlink"/>
      <w:u w:val="single"/>
    </w:rPr>
  </w:style>
  <w:style w:type="character" w:styleId="UnresolvedMention">
    <w:name w:val="Unresolved Mention"/>
    <w:basedOn w:val="DefaultParagraphFont"/>
    <w:uiPriority w:val="99"/>
    <w:semiHidden/>
    <w:unhideWhenUsed/>
    <w:rsid w:val="005941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39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ierre.stroud@sfgov.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sfmohcd.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1212</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MOCD Letter Head</vt:lpstr>
    </vt:vector>
  </TitlesOfParts>
  <Company>CCSF</Company>
  <LinksUpToDate>false</LinksUpToDate>
  <CharactersWithSpaces>8117</CharactersWithSpaces>
  <SharedDoc>false</SharedDoc>
  <HLinks>
    <vt:vector size="12" baseType="variant">
      <vt:variant>
        <vt:i4>5505073</vt:i4>
      </vt:variant>
      <vt:variant>
        <vt:i4>3</vt:i4>
      </vt:variant>
      <vt:variant>
        <vt:i4>0</vt:i4>
      </vt:variant>
      <vt:variant>
        <vt:i4>5</vt:i4>
      </vt:variant>
      <vt:variant>
        <vt:lpwstr>mailto:eugene.flannery@sfgov.org</vt:lpwstr>
      </vt:variant>
      <vt:variant>
        <vt:lpwstr/>
      </vt:variant>
      <vt:variant>
        <vt:i4>6881339</vt:i4>
      </vt:variant>
      <vt:variant>
        <vt:i4>0</vt:i4>
      </vt:variant>
      <vt:variant>
        <vt:i4>0</vt:i4>
      </vt:variant>
      <vt:variant>
        <vt:i4>5</vt:i4>
      </vt:variant>
      <vt:variant>
        <vt:lpwstr>http://www.sf-moh.org/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MOCD Letter Head</dc:title>
  <dc:creator>Alfred Cheung</dc:creator>
  <cp:lastModifiedBy>Pierre Stroud</cp:lastModifiedBy>
  <cp:revision>3</cp:revision>
  <cp:lastPrinted>2018-02-27T17:52:00Z</cp:lastPrinted>
  <dcterms:created xsi:type="dcterms:W3CDTF">2022-04-08T02:08:00Z</dcterms:created>
  <dcterms:modified xsi:type="dcterms:W3CDTF">2022-04-13T00:38:00Z</dcterms:modified>
</cp:coreProperties>
</file>